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流式散点图惊现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万能模板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？江苏省中医院论文涉嫌图片复用遭读者晒图实锤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11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江苏省中医院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南京中医药大学附属医院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重复在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62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7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22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“Astragaloside IV attenuates hypoxia/reoxygenation injury-induced apoptosis of type II alveolar epithelial cells through miR-21-5p”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黄芪甲苷通过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减弱缺氧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再氧损伤诱导的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型肺泡上皮细胞凋亡）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Chang Yao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在黄芪甲苷（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）对缺氧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再氧化损伤诱导的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型肺泡上皮细胞凋亡的抑制作用中的作用。结果表明在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损伤期间，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中的表达水平降低，在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的表达水平升高。抑制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TLR4/NF-κB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信号通路的激活可减弱细胞凋亡，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可靶向调控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99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09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75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HIR group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As-IV group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散点图，与南京市高淳人民医院同年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9925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81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 Li et al 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4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https://pubpeer.com/publications/4F7F446BB22E9521840D4560FE586B/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https://www.tandfonline.com/doi/10.1080/21655979.2021.1982845?url_ver=Z39.88-2003&amp;rfr_id=ori:rid:crossref.org&amp;rfr_dat=cr_pub%20%200pubmed#d1e278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18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13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5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2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4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6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94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29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9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2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4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6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3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24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24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16759350275522562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7&amp;idx=1&amp;sn=d754d3e754e265a3935c679249e44e0a&amp;chksm=cf6d27fccace50fcc94dcaed5c189c3b74b279e93f4485badf6055370afeabc23145088e734e&amp;scene=126&amp;sessionid=17422304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