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北京理工大学团队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子刊论文因图片重复被推至风口浪尖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14:09:51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55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31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2019年，来自北京理工大学化学与化工学院，教育部团簇科学重点实验室，光电/电光转换材料北京市重点实验室的 Hang Wang , Shuang Zhao , Yi Liu , Ruxin Yao , Xiaoqi Wang , Yuhua Cao , Dou Ma , Mingchu Zou , Anyuan Cao , Xiao Feng （通讯作者） , Bo Wang （通讯作者，）在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Membrane adsorbers with ultrahigh metal-organic framework loading for high flux separations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本出版物中所报道的这项研究得到了中国国家自然科学基金（项目编号：21490570、21625102、21471018 和 21674012）、北京市科技项目（Z181100004418001）以及北京理工大学研究基金项目的财政支持。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8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6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14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3162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16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https://pubpeer.com/publications/4080C18D5F7B848562AC9A30817DF9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34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571&amp;idx=1&amp;sn=282840e8ca6dd8cf440bfeb376fd7435&amp;chksm=c0fb49a3dfcd16bac89a2429fe12606e8b6e209615703bfd9d9dc6e8711327ca9309960285ef&amp;scene=126&amp;sessionid=17422785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