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湖南师范大学省杰青陶李、天津医科大学基础医学院刘志强教授等人的高分论文，因数据或涉重复使用面临信誉考验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22:20:12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55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Dural effects of oxidative stress on cardiomyogenesis via Gata4 transcription and protein ubiquitination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湖南师范大学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Tao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陶李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天津医科大学基础医学院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Zhiqiang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刘志强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57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97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07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肌动蛋白对照曾发表在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2016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Oncotarget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的一篇论文中，所示实验不同，而陶李是两篇文章的共同作者。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8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82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31470082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81101930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81670201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浙江省自然科学基金和公共创新计划（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LY14C120001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2014C37126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）的支持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天津医科大学人才计划（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11601501/2016KJ0317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天津医科大学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心血管与代谢疾病基础与临床研究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一流学科建设计划（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2016XK010303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天津市千人计划（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11601501/2016DW0202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Z.L.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https://pubpeer.com/publications/E1432E0050DDC7D18C19772218F9B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https://pubmed.ncbi.nlm.nih.gov/29445146/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22&amp;idx=1&amp;sn=00ccec055a06c7c095fcca4cbca60d72&amp;chksm=c5a698c8c0c25deea48d4d9701ebe78a97b25afd5ba83db99bfbcad0f64dd7ae8af24970cfb2&amp;scene=126&amp;sessionid=17423080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