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973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计划支持！清华大学深圳研究生院教授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 Nov 14:3:3098.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10.1038/srep03098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中的两幅图像似乎重叠，但描述不同。这会影响量化吗？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2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这项工作得到了中国科技部国家重点基础研究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2005CCA03500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30570960</w:t>
      </w:r>
      <w:r>
        <w:rPr>
          <w:rStyle w:val="any"/>
          <w:rFonts w:ascii="PMingLiU" w:eastAsia="PMingLiU" w:hAnsi="PMingLiU" w:cs="PMingLiU"/>
          <w:spacing w:val="8"/>
        </w:rPr>
        <w:t>）、广东省国家科学基金（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05010197</w:t>
      </w:r>
      <w:r>
        <w:rPr>
          <w:rStyle w:val="any"/>
          <w:rFonts w:ascii="PMingLiU" w:eastAsia="PMingLiU" w:hAnsi="PMingLiU" w:cs="PMingLiU"/>
          <w:spacing w:val="8"/>
        </w:rPr>
        <w:t>）和深圳市建设国家和深圳市重点实验室科技计划（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2006464200712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SG200810150043A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CXB201005260070A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CXB201104220043A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ZDSY20120616222747467</w:t>
      </w:r>
      <w:r>
        <w:rPr>
          <w:rStyle w:val="any"/>
          <w:rFonts w:ascii="PMingLiU" w:eastAsia="PMingLiU" w:hAnsi="PMingLiU" w:cs="PMingLiU"/>
          <w:spacing w:val="8"/>
        </w:rPr>
        <w:t>）对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L.H.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https://pubmed.ncbi.nlm.nih.gov/24226295/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05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152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https://pubpeer.com/publications/C34CE3A4A852CF627DFEE1479F1587#1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1&amp;sn=3e22b6495cc20dbbe7540010ff200dc3&amp;chksm=c3012cfd53447b0b60dc8ac83bf28d0510a27928b8601839d4d6cf3dd5ed8d7a54bc04a84ec8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