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天津市第一中心医院的论文被撤稿，因存在内补图像重复以与其他文章部分图像面板重复的问题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2025-03-09 13:04:08</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Active vitamin D activates chondrocyte autophagy to reduce osteoarthritis via mediating the AMPK-mTOR signaling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期刊：Biochemistry and Cell Biology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天津市第一中心医院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发表时间：2019年12月9日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10.1139/bcb-2019-0333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w:t>
      </w:r>
      <w:r>
        <w:rPr>
          <w:rStyle w:val="any"/>
          <w:rFonts w:ascii="Microsoft YaHei UI" w:eastAsia="Microsoft YaHei UI" w:hAnsi="Microsoft YaHei UI" w:cs="Microsoft YaHei UI"/>
          <w:color w:val="3E3E3E"/>
          <w:spacing w:val="9"/>
          <w:sz w:val="21"/>
          <w:szCs w:val="21"/>
        </w:rPr>
        <w:t>稿原因：存在三处完全图像面板重复和两处与其他文章部分图像面板重复的问题。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69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31993" name=""/>
                    <pic:cNvPicPr>
                      <a:picLocks noChangeAspect="1"/>
                    </pic:cNvPicPr>
                  </pic:nvPicPr>
                  <pic:blipFill>
                    <a:blip xmlns:r="http://schemas.openxmlformats.org/officeDocument/2006/relationships" r:embed="rId6"/>
                    <a:stretch>
                      <a:fillRect/>
                    </a:stretch>
                  </pic:blipFill>
                  <pic:spPr>
                    <a:xfrm>
                      <a:off x="0" y="0"/>
                      <a:ext cx="5486400" cy="1569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910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66435" name=""/>
                    <pic:cNvPicPr>
                      <a:picLocks noChangeAspect="1"/>
                    </pic:cNvPicPr>
                  </pic:nvPicPr>
                  <pic:blipFill>
                    <a:blip xmlns:r="http://schemas.openxmlformats.org/officeDocument/2006/relationships" r:embed="rId7"/>
                    <a:stretch>
                      <a:fillRect/>
                    </a:stretch>
                  </pic:blipFill>
                  <pic:spPr>
                    <a:xfrm>
                      <a:off x="0" y="0"/>
                      <a:ext cx="5486400" cy="1910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赵等人（</w:t>
      </w:r>
      <w:r>
        <w:rPr>
          <w:rStyle w:val="any"/>
          <w:rFonts w:ascii="Times New Roman" w:eastAsia="Times New Roman" w:hAnsi="Times New Roman" w:cs="Times New Roman"/>
          <w:color w:val="3E3E3E"/>
          <w:spacing w:val="9"/>
          <w:sz w:val="21"/>
          <w:szCs w:val="21"/>
        </w:rPr>
        <w:t>2018</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10.2147/JPR.S183594</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逆时针旋转</w:t>
      </w:r>
      <w:r>
        <w:rPr>
          <w:rStyle w:val="any"/>
          <w:rFonts w:ascii="Times New Roman" w:eastAsia="Times New Roman" w:hAnsi="Times New Roman" w:cs="Times New Roman"/>
          <w:color w:val="3E3E3E"/>
          <w:spacing w:val="9"/>
          <w:sz w:val="21"/>
          <w:szCs w:val="21"/>
        </w:rPr>
        <w:t>90</w:t>
      </w:r>
      <w:r>
        <w:rPr>
          <w:rStyle w:val="any"/>
          <w:rFonts w:ascii="PMingLiU" w:eastAsia="PMingLiU" w:hAnsi="PMingLiU" w:cs="PMingLiU"/>
          <w:color w:val="3E3E3E"/>
          <w:spacing w:val="9"/>
          <w:sz w:val="21"/>
          <w:szCs w:val="21"/>
        </w:rPr>
        <w:t>度后，部分重复出现在图</w:t>
      </w:r>
      <w:r>
        <w:rPr>
          <w:rStyle w:val="any"/>
          <w:rFonts w:ascii="Times New Roman" w:eastAsia="Times New Roman" w:hAnsi="Times New Roman" w:cs="Times New Roman"/>
          <w:color w:val="3E3E3E"/>
          <w:spacing w:val="9"/>
          <w:sz w:val="21"/>
          <w:szCs w:val="21"/>
        </w:rPr>
        <w:t>5A</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“40 X”</w:t>
      </w:r>
      <w:r>
        <w:rPr>
          <w:rStyle w:val="any"/>
          <w:rFonts w:ascii="PMingLiU" w:eastAsia="PMingLiU" w:hAnsi="PMingLiU" w:cs="PMingLiU"/>
          <w:color w:val="3E3E3E"/>
          <w:spacing w:val="9"/>
          <w:sz w:val="21"/>
          <w:szCs w:val="21"/>
        </w:rPr>
        <w:t>面板中。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99439" name=""/>
                    <pic:cNvPicPr>
                      <a:picLocks noChangeAspect="1"/>
                    </pic:cNvPicPr>
                  </pic:nvPicPr>
                  <pic:blipFill>
                    <a:blip xmlns:r="http://schemas.openxmlformats.org/officeDocument/2006/relationships" r:embed="rId8"/>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Times New Roman" w:eastAsia="Times New Roman" w:hAnsi="Times New Roman" w:cs="Times New Roman"/>
          <w:color w:val="3E3E3E"/>
          <w:spacing w:val="9"/>
          <w:sz w:val="21"/>
          <w:szCs w:val="21"/>
        </w:rPr>
        <w:t>Pan</w:t>
      </w:r>
      <w:r>
        <w:rPr>
          <w:rStyle w:val="any"/>
          <w:rFonts w:ascii="PMingLiU" w:eastAsia="PMingLiU" w:hAnsi="PMingLiU" w:cs="PMingLiU"/>
          <w:color w:val="3E3E3E"/>
          <w:spacing w:val="9"/>
          <w:sz w:val="21"/>
          <w:szCs w:val="21"/>
        </w:rPr>
        <w:t>等人（</w:t>
      </w:r>
      <w:r>
        <w:rPr>
          <w:rStyle w:val="any"/>
          <w:rFonts w:ascii="Times New Roman" w:eastAsia="Times New Roman" w:hAnsi="Times New Roman" w:cs="Times New Roman"/>
          <w:color w:val="3E3E3E"/>
          <w:spacing w:val="9"/>
          <w:sz w:val="21"/>
          <w:szCs w:val="21"/>
        </w:rPr>
        <w:t>2019, doi: 10.1038/s41419-019-1653-7</w:t>
      </w:r>
      <w:r>
        <w:rPr>
          <w:rStyle w:val="any"/>
          <w:rFonts w:ascii="PMingLiU" w:eastAsia="PMingLiU" w:hAnsi="PMingLiU" w:cs="PMingLiU"/>
          <w:color w:val="3E3E3E"/>
          <w:spacing w:val="9"/>
          <w:sz w:val="21"/>
          <w:szCs w:val="21"/>
        </w:rPr>
        <w:t>）的图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中的</w:t>
      </w:r>
      <w:r>
        <w:rPr>
          <w:rStyle w:val="any"/>
          <w:rFonts w:ascii="Times New Roman" w:eastAsia="Times New Roman" w:hAnsi="Times New Roman" w:cs="Times New Roman"/>
          <w:color w:val="3E3E3E"/>
          <w:spacing w:val="9"/>
          <w:sz w:val="21"/>
          <w:szCs w:val="21"/>
        </w:rPr>
        <w:t>“GFP-LC3”</w:t>
      </w:r>
      <w:r>
        <w:rPr>
          <w:rStyle w:val="any"/>
          <w:rFonts w:ascii="PMingLiU" w:eastAsia="PMingLiU" w:hAnsi="PMingLiU" w:cs="PMingLiU"/>
          <w:color w:val="3E3E3E"/>
          <w:spacing w:val="9"/>
          <w:sz w:val="21"/>
          <w:szCs w:val="21"/>
        </w:rPr>
        <w:t>对照组面板、图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中的</w:t>
      </w:r>
      <w:r>
        <w:rPr>
          <w:rStyle w:val="any"/>
          <w:rFonts w:ascii="Times New Roman" w:eastAsia="Times New Roman" w:hAnsi="Times New Roman" w:cs="Times New Roman"/>
          <w:color w:val="3E3E3E"/>
          <w:spacing w:val="9"/>
          <w:sz w:val="21"/>
          <w:szCs w:val="21"/>
        </w:rPr>
        <w:t>“GFP-LC3”</w:t>
      </w:r>
      <w:r>
        <w:rPr>
          <w:rStyle w:val="any"/>
          <w:rFonts w:ascii="PMingLiU" w:eastAsia="PMingLiU" w:hAnsi="PMingLiU" w:cs="PMingLiU"/>
          <w:color w:val="3E3E3E"/>
          <w:spacing w:val="9"/>
          <w:sz w:val="21"/>
          <w:szCs w:val="21"/>
        </w:rPr>
        <w:t>对照组面板以及图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中的</w:t>
      </w:r>
      <w:r>
        <w:rPr>
          <w:rStyle w:val="any"/>
          <w:rFonts w:ascii="Times New Roman" w:eastAsia="Times New Roman" w:hAnsi="Times New Roman" w:cs="Times New Roman"/>
          <w:color w:val="3E3E3E"/>
          <w:spacing w:val="9"/>
          <w:sz w:val="21"/>
          <w:szCs w:val="21"/>
        </w:rPr>
        <w:t>“GFP-LC3”</w:t>
      </w:r>
      <w:r>
        <w:rPr>
          <w:rStyle w:val="any"/>
          <w:rFonts w:ascii="PMingLiU" w:eastAsia="PMingLiU" w:hAnsi="PMingLiU" w:cs="PMingLiU"/>
          <w:color w:val="3E3E3E"/>
          <w:spacing w:val="9"/>
          <w:sz w:val="21"/>
          <w:szCs w:val="21"/>
        </w:rPr>
        <w:t>对照组面板分别逆时针旋转</w:t>
      </w:r>
      <w:r>
        <w:rPr>
          <w:rStyle w:val="any"/>
          <w:rFonts w:ascii="Times New Roman" w:eastAsia="Times New Roman" w:hAnsi="Times New Roman" w:cs="Times New Roman"/>
          <w:color w:val="3E3E3E"/>
          <w:spacing w:val="9"/>
          <w:sz w:val="21"/>
          <w:szCs w:val="21"/>
        </w:rPr>
        <w:t>90</w:t>
      </w:r>
      <w:r>
        <w:rPr>
          <w:rStyle w:val="any"/>
          <w:rFonts w:ascii="PMingLiU" w:eastAsia="PMingLiU" w:hAnsi="PMingLiU" w:cs="PMingLiU"/>
          <w:color w:val="3E3E3E"/>
          <w:spacing w:val="9"/>
          <w:sz w:val="21"/>
          <w:szCs w:val="21"/>
        </w:rPr>
        <w:t>度后，完全重复出现在图</w:t>
      </w:r>
      <w:r>
        <w:rPr>
          <w:rStyle w:val="any"/>
          <w:rFonts w:ascii="Times New Roman" w:eastAsia="Times New Roman" w:hAnsi="Times New Roman" w:cs="Times New Roman"/>
          <w:color w:val="3E3E3E"/>
          <w:spacing w:val="9"/>
          <w:sz w:val="21"/>
          <w:szCs w:val="21"/>
        </w:rPr>
        <w:t>5D</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“GFP-LC3”</w:t>
      </w:r>
      <w:r>
        <w:rPr>
          <w:rStyle w:val="any"/>
          <w:rFonts w:ascii="PMingLiU" w:eastAsia="PMingLiU" w:hAnsi="PMingLiU" w:cs="PMingLiU"/>
          <w:color w:val="3E3E3E"/>
          <w:spacing w:val="9"/>
          <w:sz w:val="21"/>
          <w:szCs w:val="21"/>
        </w:rPr>
        <w:t>对照组面板、</w:t>
      </w:r>
      <w:r>
        <w:rPr>
          <w:rStyle w:val="any"/>
          <w:rFonts w:ascii="Times New Roman" w:eastAsia="Times New Roman" w:hAnsi="Times New Roman" w:cs="Times New Roman"/>
          <w:color w:val="3E3E3E"/>
          <w:spacing w:val="9"/>
          <w:sz w:val="21"/>
          <w:szCs w:val="21"/>
        </w:rPr>
        <w:t>“GFP-LC3”“IL-1β”</w:t>
      </w:r>
      <w:r>
        <w:rPr>
          <w:rStyle w:val="any"/>
          <w:rFonts w:ascii="PMingLiU" w:eastAsia="PMingLiU" w:hAnsi="PMingLiU" w:cs="PMingLiU"/>
          <w:color w:val="3E3E3E"/>
          <w:spacing w:val="9"/>
          <w:sz w:val="21"/>
          <w:szCs w:val="21"/>
        </w:rPr>
        <w:t>面板和</w:t>
      </w:r>
      <w:r>
        <w:rPr>
          <w:rStyle w:val="any"/>
          <w:rFonts w:ascii="Times New Roman" w:eastAsia="Times New Roman" w:hAnsi="Times New Roman" w:cs="Times New Roman"/>
          <w:color w:val="3E3E3E"/>
          <w:spacing w:val="9"/>
          <w:sz w:val="21"/>
          <w:szCs w:val="21"/>
        </w:rPr>
        <w:t>“RFP-LC3”</w:t>
      </w:r>
      <w:r>
        <w:rPr>
          <w:rStyle w:val="any"/>
          <w:rFonts w:ascii="PMingLiU" w:eastAsia="PMingLiU" w:hAnsi="PMingLiU" w:cs="PMingLiU"/>
          <w:color w:val="3E3E3E"/>
          <w:spacing w:val="9"/>
          <w:sz w:val="21"/>
          <w:szCs w:val="21"/>
        </w:rPr>
        <w:t>对照组面板中。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573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94046" name=""/>
                    <pic:cNvPicPr>
                      <a:picLocks noChangeAspect="1"/>
                    </pic:cNvPicPr>
                  </pic:nvPicPr>
                  <pic:blipFill>
                    <a:blip xmlns:r="http://schemas.openxmlformats.org/officeDocument/2006/relationships" r:embed="rId9"/>
                    <a:stretch>
                      <a:fillRect/>
                    </a:stretch>
                  </pic:blipFill>
                  <pic:spPr>
                    <a:xfrm>
                      <a:off x="0" y="0"/>
                      <a:ext cx="5486400" cy="657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xml:space="preserve">  </w:t>
      </w:r>
      <w:r>
        <w:rPr>
          <w:rStyle w:val="any"/>
          <w:rFonts w:ascii="Times New Roman" w:eastAsia="Times New Roman" w:hAnsi="Times New Roman" w:cs="Times New Roman"/>
          <w:color w:val="3E3E3E"/>
          <w:spacing w:val="9"/>
          <w:sz w:val="21"/>
          <w:szCs w:val="21"/>
        </w:rPr>
        <w:t>Pan</w:t>
      </w:r>
      <w:r>
        <w:rPr>
          <w:rStyle w:val="any"/>
          <w:rFonts w:ascii="PMingLiU" w:eastAsia="PMingLiU" w:hAnsi="PMingLiU" w:cs="PMingLiU"/>
          <w:color w:val="3E3E3E"/>
          <w:spacing w:val="9"/>
          <w:sz w:val="21"/>
          <w:szCs w:val="21"/>
        </w:rPr>
        <w:t>等人（</w:t>
      </w:r>
      <w:r>
        <w:rPr>
          <w:rStyle w:val="any"/>
          <w:rFonts w:ascii="Times New Roman" w:eastAsia="Times New Roman" w:hAnsi="Times New Roman" w:cs="Times New Roman"/>
          <w:color w:val="3E3E3E"/>
          <w:spacing w:val="9"/>
          <w:sz w:val="21"/>
          <w:szCs w:val="21"/>
        </w:rPr>
        <w:t>2019</w:t>
      </w:r>
      <w:r>
        <w:rPr>
          <w:rStyle w:val="any"/>
          <w:rFonts w:ascii="PMingLiU" w:eastAsia="PMingLiU" w:hAnsi="PMingLiU" w:cs="PMingLiU"/>
          <w:color w:val="3E3E3E"/>
          <w:spacing w:val="9"/>
          <w:sz w:val="21"/>
          <w:szCs w:val="21"/>
        </w:rPr>
        <w:t>）的图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中的</w:t>
      </w:r>
      <w:r>
        <w:rPr>
          <w:rStyle w:val="any"/>
          <w:rFonts w:ascii="Times New Roman" w:eastAsia="Times New Roman" w:hAnsi="Times New Roman" w:cs="Times New Roman"/>
          <w:color w:val="3E3E3E"/>
          <w:spacing w:val="9"/>
          <w:sz w:val="21"/>
          <w:szCs w:val="21"/>
        </w:rPr>
        <w:t>“CQ (10 μM)”</w:t>
      </w:r>
      <w:r>
        <w:rPr>
          <w:rStyle w:val="any"/>
          <w:rFonts w:ascii="PMingLiU" w:eastAsia="PMingLiU" w:hAnsi="PMingLiU" w:cs="PMingLiU"/>
          <w:color w:val="3E3E3E"/>
          <w:spacing w:val="9"/>
          <w:sz w:val="21"/>
          <w:szCs w:val="21"/>
        </w:rPr>
        <w:t>合并面板逆时针旋转</w:t>
      </w:r>
      <w:r>
        <w:rPr>
          <w:rStyle w:val="any"/>
          <w:rFonts w:ascii="Times New Roman" w:eastAsia="Times New Roman" w:hAnsi="Times New Roman" w:cs="Times New Roman"/>
          <w:color w:val="3E3E3E"/>
          <w:spacing w:val="9"/>
          <w:sz w:val="21"/>
          <w:szCs w:val="21"/>
        </w:rPr>
        <w:t>90</w:t>
      </w:r>
      <w:r>
        <w:rPr>
          <w:rStyle w:val="any"/>
          <w:rFonts w:ascii="PMingLiU" w:eastAsia="PMingLiU" w:hAnsi="PMingLiU" w:cs="PMingLiU"/>
          <w:color w:val="3E3E3E"/>
          <w:spacing w:val="9"/>
          <w:sz w:val="21"/>
          <w:szCs w:val="21"/>
        </w:rPr>
        <w:t>度、压缩后，部分重复出现在图</w:t>
      </w:r>
      <w:r>
        <w:rPr>
          <w:rStyle w:val="any"/>
          <w:rFonts w:ascii="Times New Roman" w:eastAsia="Times New Roman" w:hAnsi="Times New Roman" w:cs="Times New Roman"/>
          <w:color w:val="3E3E3E"/>
          <w:spacing w:val="9"/>
          <w:sz w:val="21"/>
          <w:szCs w:val="21"/>
        </w:rPr>
        <w:t>5D</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 xml:space="preserve">“IL-1β + </w:t>
      </w:r>
      <w:r>
        <w:rPr>
          <w:rStyle w:val="any"/>
          <w:rFonts w:ascii="PMingLiU" w:eastAsia="PMingLiU" w:hAnsi="PMingLiU" w:cs="PMingLiU"/>
          <w:color w:val="3E3E3E"/>
          <w:spacing w:val="9"/>
          <w:sz w:val="21"/>
          <w:szCs w:val="21"/>
        </w:rPr>
        <w:t>活性</w:t>
      </w:r>
      <w:r>
        <w:rPr>
          <w:rStyle w:val="any"/>
          <w:rFonts w:ascii="Times New Roman" w:eastAsia="Times New Roman" w:hAnsi="Times New Roman" w:cs="Times New Roman"/>
          <w:color w:val="3E3E3E"/>
          <w:spacing w:val="9"/>
          <w:sz w:val="21"/>
          <w:szCs w:val="21"/>
        </w:rPr>
        <w:t>VD”</w:t>
      </w:r>
      <w:r>
        <w:rPr>
          <w:rStyle w:val="any"/>
          <w:rFonts w:ascii="PMingLiU" w:eastAsia="PMingLiU" w:hAnsi="PMingLiU" w:cs="PMingLiU"/>
          <w:color w:val="3E3E3E"/>
          <w:spacing w:val="9"/>
          <w:sz w:val="21"/>
          <w:szCs w:val="21"/>
        </w:rPr>
        <w:t>合并面板中。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29907"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本文因图像重复问题已被撤回。有三处完全图像面板重复和两处与其他已发表文章的部分图像面板重复。具体情况如下：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 赵等人（2018）的“图1B”逆时针旋转90度后，部分重复出现在图5A的“40 X”面板中。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 Pan等人（2019）的图3A中的“GFP-LC3”对照组面板、图3B中的“GFP-LC3”对照组面板以及图3A（此处可能是引用错误，因为通常同一篇文章中的同一图号不会重复出现，但为保持原文意思，不做改动）中的“GFP-LC3”对照组面板分别逆时针旋转90度后，完全重复出现在图5D的“GFP-LC3”对照组面板、“GFP-LC3”“IL-1β”面板和“RFP-LC3”对照组面板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 Pan等人（2019）的图3B中的“CQ (10 μM)”合并面板逆时针旋转90度、压缩后，部分重复出现在图5D的“IL-1β + 活性VD”合并面板中。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鉴于这些图像问题，主编们对该研究的结论失去了信心，并决定撤回该文章。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此次撤回符合《</w:t>
      </w:r>
      <w:r>
        <w:rPr>
          <w:rStyle w:val="any"/>
          <w:rFonts w:ascii="Microsoft YaHei UI" w:eastAsia="Microsoft YaHei UI" w:hAnsi="Microsoft YaHei UI" w:cs="Microsoft YaHei UI"/>
          <w:color w:val="3E3E3E"/>
          <w:spacing w:val="9"/>
          <w:sz w:val="21"/>
          <w:szCs w:val="21"/>
        </w:rPr>
        <w:t>Biochemistry and Cell Biology</w:t>
      </w:r>
      <w:r>
        <w:rPr>
          <w:rStyle w:val="any"/>
          <w:rFonts w:ascii="Microsoft YaHei UI" w:eastAsia="Microsoft YaHei UI" w:hAnsi="Microsoft YaHei UI" w:cs="Microsoft YaHei UI"/>
          <w:color w:val="3E3E3E"/>
          <w:spacing w:val="9"/>
          <w:sz w:val="21"/>
          <w:szCs w:val="21"/>
        </w:rPr>
        <w:t>》杂志及其出版商加拿大科学出版社的出版政策。</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作者无法联系到以对此次撤回发表回应。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w:t>
      </w:r>
      <w:r>
        <w:rPr>
          <w:rStyle w:val="any"/>
          <w:rFonts w:ascii="Microsoft YaHei UI" w:eastAsia="Microsoft YaHei UI" w:hAnsi="Microsoft YaHei UI" w:cs="Microsoft YaHei UI"/>
          <w:color w:val="3E3E3E"/>
          <w:spacing w:val="9"/>
          <w:sz w:val="21"/>
          <w:szCs w:val="21"/>
        </w:rPr>
        <w:t>Kong C., Wang C., Shi Y., Yan L., Xu J., Qi W. 2020. Active vitamin D activates chondrocyte autophagy to reduce osteoarthritis via mediating the AMPK–mTOR signaling pathway.Biochem. Cell Biol. </w:t>
      </w:r>
      <w:r>
        <w:rPr>
          <w:rStyle w:val="any"/>
          <w:rFonts w:ascii="Microsoft YaHei UI" w:eastAsia="Microsoft YaHei UI" w:hAnsi="Microsoft YaHei UI" w:cs="Microsoft YaHei UI"/>
          <w:b/>
          <w:bCs/>
          <w:color w:val="3E3E3E"/>
          <w:spacing w:val="9"/>
          <w:sz w:val="21"/>
          <w:szCs w:val="21"/>
        </w:rPr>
        <w:t>98</w:t>
      </w:r>
      <w:r>
        <w:rPr>
          <w:rStyle w:val="any"/>
          <w:rFonts w:ascii="Microsoft YaHei UI" w:eastAsia="Microsoft YaHei UI" w:hAnsi="Microsoft YaHei UI" w:cs="Microsoft YaHei UI"/>
          <w:color w:val="3E3E3E"/>
          <w:spacing w:val="9"/>
          <w:sz w:val="21"/>
          <w:szCs w:val="21"/>
        </w:rPr>
        <w:t>(3): 434–442.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w:t>
      </w:r>
      <w:r>
        <w:rPr>
          <w:rStyle w:val="any"/>
          <w:rFonts w:ascii="Microsoft YaHei UI" w:eastAsia="Microsoft YaHei UI" w:hAnsi="Microsoft YaHei UI" w:cs="Microsoft YaHei UI"/>
          <w:color w:val="3E3E3E"/>
          <w:spacing w:val="9"/>
          <w:sz w:val="21"/>
          <w:szCs w:val="21"/>
        </w:rPr>
        <w:t>Pan H., Wang Y., Na K., Wang Y., Wang L., Li Z., et al. 2019. Autophagic flux disruption contributes to Ganoderma lucidum polysaccharide-induced apoptosis in human colorectal cancer cells via MAPK/ERK activation. Cell Death Dis. 10: 456.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[3] </w:t>
      </w:r>
      <w:r>
        <w:rPr>
          <w:rStyle w:val="any"/>
          <w:rFonts w:ascii="Microsoft YaHei UI" w:eastAsia="Microsoft YaHei UI" w:hAnsi="Microsoft YaHei UI" w:cs="Microsoft YaHei UI"/>
          <w:color w:val="3E3E3E"/>
          <w:spacing w:val="9"/>
          <w:sz w:val="21"/>
          <w:szCs w:val="21"/>
        </w:rPr>
        <w:t>Zhao X., Li Y., Lin X., Wang J., Zhao X., Xie J., et al. 2018. Ozone induces autophagy in rat chondrocytes stimulated with IL-1β through the AMPK/mTOR signaling pathway. J. Pain Res. 11: 3003–3017.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https://cdnsciencepub.com/doi/10.1139/bcb-2025-0020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84460"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87411"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27084"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218&amp;idx=2&amp;sn=174d512d1ec4df20bd800d101d75e7dc&amp;chksm=c2fe31d85308a1f933dcfa6959769c4c939b8347d24b157c2c4f4629b8bfcb82ee5e7da2e5b1&amp;scene=126&amp;sessionid=174222884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