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惊爆！就在今日，作者遭遇撤稿后愤起，揭露无良论文工厂五花八门无底线操作！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(SDFM)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来自不同国家和机构。其中，大部分文章是由来自中华人民共和国和其他国家（主要是伊朗、沙特阿拉伯和其他西亚国家）的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，涉事论文经常引用了不相关的参考文献，并且也获得了其他文章的不相关引用。这些不相关的引用都是论文工厂文章的迹象之一。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同行评议问题</w:t>
      </w:r>
      <w:r>
        <w:rPr>
          <w:rStyle w:val="any"/>
          <w:rFonts w:ascii="PMingLiU" w:eastAsia="PMingLiU" w:hAnsi="PMingLiU" w:cs="PMingLiU"/>
          <w:spacing w:val="8"/>
        </w:rPr>
        <w:t>，根据揭发者提供的合同，该论文工厂出售的是返修阶段稿件，且没有录用通知，但最终正式见刊（尽管已撤稿）。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、引发争议的文章中，部分文章将台湾称为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。这一做法不仅与中华人民共和国政府及其人民的立场相悖，也引发了学术界的广泛质疑。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揭发者提供的合作合同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64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1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44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57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9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23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19&amp;idx=1&amp;sn=fb19457ba150ca9ff381ed20d90771ff&amp;chksm=c22400de50dd680ce8cf1d5690c70d2312623290564c9504eb5b1a0859d9c6594a0cd8eba7ef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