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论文被撤稿，图片面板旋转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180°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或图片相似重叠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20:08:00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74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5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spacing w:val="8"/>
        </w:rPr>
        <w:t>》杂志发布了一则撤稿声明。被撤文章名为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“Oroxylin A activates PKM1/HNF4 alpha to induce hepatoma differentiation and block cancer progression”</w:t>
      </w:r>
      <w:r>
        <w:rPr>
          <w:rStyle w:val="any"/>
          <w:rFonts w:ascii="PMingLiU" w:eastAsia="PMingLiU" w:hAnsi="PMingLiU" w:cs="PMingLiU"/>
          <w:spacing w:val="8"/>
        </w:rPr>
        <w:t>，最初发表于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，影响因子为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8.1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Q1</w:t>
      </w:r>
      <w:r>
        <w:rPr>
          <w:rStyle w:val="any"/>
          <w:rFonts w:ascii="PMingLiU" w:eastAsia="PMingLiU" w:hAnsi="PMingLiU" w:cs="PMingLiU"/>
          <w:spacing w:val="8"/>
        </w:rPr>
        <w:t>）。该研究由中国药科大学的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State Key Laboratory of Natural Medicines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Jiangsu Key Laboratory of Carcinogenesis and Intervention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School of Basic Medicine and Clinical Pharmacy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Libin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Yuanyuan Dai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Yuxin Zhou </w:t>
      </w:r>
      <w:r>
        <w:rPr>
          <w:rStyle w:val="any"/>
          <w:rFonts w:ascii="PMingLiU" w:eastAsia="PMingLiU" w:hAnsi="PMingLiU" w:cs="PMingLiU"/>
          <w:spacing w:val="8"/>
        </w:rPr>
        <w:t>等学者完成。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原本该研究致力于揭示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Oroxylin A</w:t>
      </w:r>
      <w:r>
        <w:rPr>
          <w:rStyle w:val="any"/>
          <w:rFonts w:ascii="PMingLiU" w:eastAsia="PMingLiU" w:hAnsi="PMingLiU" w:cs="PMingLiU"/>
          <w:spacing w:val="8"/>
        </w:rPr>
        <w:t>（一种物质）激活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PKM1/HNF4 alpha </w:t>
      </w:r>
      <w:r>
        <w:rPr>
          <w:rStyle w:val="any"/>
          <w:rFonts w:ascii="PMingLiU" w:eastAsia="PMingLiU" w:hAnsi="PMingLiU" w:cs="PMingLiU"/>
          <w:spacing w:val="8"/>
        </w:rPr>
        <w:t>诱导肝癌细胞分化并阻止癌症进展的机制，若成果可靠，对于肝癌治疗的理论研究及未来临床应用都可能具有重要意义。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60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40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然而，文章发表后，被发现存在严重的图片问题。例如，在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2a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96H [DMSO] </w:t>
      </w:r>
      <w:r>
        <w:rPr>
          <w:rStyle w:val="any"/>
          <w:rFonts w:ascii="PMingLiU" w:eastAsia="PMingLiU" w:hAnsi="PMingLiU" w:cs="PMingLiU"/>
          <w:spacing w:val="8"/>
        </w:rPr>
        <w:t>面板似乎是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72H [DMSO] </w:t>
      </w:r>
      <w:r>
        <w:rPr>
          <w:rStyle w:val="any"/>
          <w:rFonts w:ascii="PMingLiU" w:eastAsia="PMingLiU" w:hAnsi="PMingLiU" w:cs="PMingLiU"/>
          <w:spacing w:val="8"/>
        </w:rPr>
        <w:t>面板旋转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度所得；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Figure 2b </w:t>
      </w:r>
      <w:r>
        <w:rPr>
          <w:rStyle w:val="any"/>
          <w:rFonts w:ascii="PMingLiU" w:eastAsia="PMingLiU" w:hAnsi="PMingLiU" w:cs="PMingLiU"/>
          <w:spacing w:val="8"/>
        </w:rPr>
        <w:t>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SMMC - 7721 </w:t>
      </w:r>
      <w:r>
        <w:rPr>
          <w:rStyle w:val="any"/>
          <w:rFonts w:ascii="PMingLiU" w:eastAsia="PMingLiU" w:hAnsi="PMingLiU" w:cs="PMingLiU"/>
          <w:spacing w:val="8"/>
        </w:rPr>
        <w:t>细胞系的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beta - actin </w:t>
      </w:r>
      <w:r>
        <w:rPr>
          <w:rStyle w:val="any"/>
          <w:rFonts w:ascii="PMingLiU" w:eastAsia="PMingLiU" w:hAnsi="PMingLiU" w:cs="PMingLiU"/>
          <w:spacing w:val="8"/>
        </w:rPr>
        <w:t>条带在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96H </w:t>
      </w:r>
      <w:r>
        <w:rPr>
          <w:rStyle w:val="any"/>
          <w:rFonts w:ascii="PMingLiU" w:eastAsia="PMingLiU" w:hAnsi="PMingLiU" w:cs="PMingLiU"/>
          <w:spacing w:val="8"/>
        </w:rPr>
        <w:t>处理组像是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72H </w:t>
      </w:r>
      <w:r>
        <w:rPr>
          <w:rStyle w:val="any"/>
          <w:rFonts w:ascii="PMingLiU" w:eastAsia="PMingLiU" w:hAnsi="PMingLiU" w:cs="PMingLiU"/>
          <w:spacing w:val="8"/>
        </w:rPr>
        <w:t>处理组的翻转和加宽版本，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Hep G2 </w:t>
      </w:r>
      <w:r>
        <w:rPr>
          <w:rStyle w:val="any"/>
          <w:rFonts w:ascii="PMingLiU" w:eastAsia="PMingLiU" w:hAnsi="PMingLiU" w:cs="PMingLiU"/>
          <w:spacing w:val="8"/>
        </w:rPr>
        <w:t>细胞系也存在类似情况；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Figure 8f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HNF - 4alpha [control] </w:t>
      </w:r>
      <w:r>
        <w:rPr>
          <w:rStyle w:val="any"/>
          <w:rFonts w:ascii="PMingLiU" w:eastAsia="PMingLiU" w:hAnsi="PMingLiU" w:cs="PMingLiU"/>
          <w:spacing w:val="8"/>
        </w:rPr>
        <w:t>面板的下半部分与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HNF - 4alpha [OA (75?mh/kg)] </w:t>
      </w:r>
      <w:r>
        <w:rPr>
          <w:rStyle w:val="any"/>
          <w:rFonts w:ascii="PMingLiU" w:eastAsia="PMingLiU" w:hAnsi="PMingLiU" w:cs="PMingLiU"/>
          <w:spacing w:val="8"/>
        </w:rPr>
        <w:t>面板的上半部分几乎完全相同。基于这些问题，编辑们对文章数据失去信心，决定撤回该论文。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16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4019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08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59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61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17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43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383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14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值得注意的是，作者之一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Qinglong Guo </w:t>
      </w:r>
      <w:r>
        <w:rPr>
          <w:rStyle w:val="any"/>
          <w:rFonts w:ascii="PMingLiU" w:eastAsia="PMingLiU" w:hAnsi="PMingLiU" w:cs="PMingLiU"/>
          <w:spacing w:val="8"/>
        </w:rPr>
        <w:t>不同意此次撤稿，而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Libin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Yuanyuan Dai </w:t>
      </w:r>
      <w:r>
        <w:rPr>
          <w:rStyle w:val="any"/>
          <w:rFonts w:ascii="PMingLiU" w:eastAsia="PMingLiU" w:hAnsi="PMingLiU" w:cs="PMingLiU"/>
          <w:spacing w:val="8"/>
        </w:rPr>
        <w:t>等其他作者则未回应编辑或出版商关于撤稿的相关通信。这一撤稿事件不仅反映出科研过程中数据准确性的重要性，也给整个科研界敲响了警钟，引发了对于学术诚信和科研严谨性的再度思考。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https://www.nature.com/articles/s41419-025-07496-1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48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67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039&amp;idx=1&amp;sn=6af0a006995996752ef5a8ad8bef50bd&amp;chksm=8e356456e8e1f5116b90456d14ca8664d40a05abc856385af4169bdc0f5f674f52904c8542a3&amp;scene=126&amp;sessionid=17421418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