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中南大学罗湘杭团队发表的高水平文章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JEM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09:54:52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94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[1]诚信科研编辑部通过筛库，发现中南大学罗湘杭团队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于2019 年 6 月 13 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9"/>
          <w:sz w:val="23"/>
          <w:szCs w:val="23"/>
        </w:rPr>
        <w:t>Journal of Experimental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 (IF=13)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Krüppel-like factor 3 inhibition by mutated lncRNA Reg1cp results in human high bone mass syndrome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”的研究论文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9"/>
          <w:sz w:val="23"/>
          <w:szCs w:val="23"/>
        </w:rPr>
        <w:t>，存在1对图片重复使用。</w:t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42236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223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2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D9214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D92142"/>
          <w:spacing w:val="9"/>
          <w:sz w:val="26"/>
          <w:szCs w:val="26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pacing w:before="0" w:after="240" w:line="394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2486025" cy="15906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77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对所有图片进行检测，iFigures发现有1对图片重复使用：图9J-1及9J-2出现部分重叠，但是代表明显不一样的实验结果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。</w:t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037853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49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03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诚信科研将9J-1及9J-2调亮及放大，发现蓝色荧光部分明显重叠。</w:t>
      </w:r>
    </w:p>
    <w:p>
      <w:pPr>
        <w:widowControl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  <w:shd w:val="clear" w:color="auto" w:fill="FFFF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color w:val="D92142"/>
          <w:spacing w:val="8"/>
          <w:sz w:val="23"/>
          <w:szCs w:val="23"/>
          <w:u w:val="none"/>
          <w:shd w:val="clear" w:color="auto" w:fill="FFFFFF"/>
        </w:rPr>
        <w:drawing>
          <wp:inline>
            <wp:extent cx="6143625" cy="325605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83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诚信科研编辑部建议作者核查原始数据，进一步更正文章重复的图片。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267&amp;idx=1&amp;sn=d0931d1cfa6ad4dfbf79273ab64a7462&amp;chksm=9620c88cb76972d022426e7842e1fc548a825abe52f0e4e0a26d401aa985a1e8e8b3b1df573a&amp;scene=126&amp;sessionid=17421429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