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黄波团队的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08:49:32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诚信科研编辑部通过筛库，发现2024年2月15日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华中科技大学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/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中国医学科学院/北京协和医学院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黄波团队在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Cell softness renders cytotoxic T lymphocytes and T leukemic cells resistant to perforin-mediated killing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，存在3对图片重复使用。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362574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31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2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1140268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87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14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对所有图片（非蛋白印迹）进行检测，iFigures发现文章内3对图片高度相似/图片重复：图7D-5与8A-5，图7D-6与8A-6，图7D-8与8A-8高度相似/图片重复，但是代表不同的实验结果。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2087409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29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8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华中科技大学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/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中国医学科学院/北京协和医学院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黄波团队在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Delivery of chemotherapeutic drugs in tumour cell-derived microparticles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，存在2对图片重复使用。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368779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41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8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48300" cy="175260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403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对所有图片（非蛋白印迹）进行检测，iFigures发现文章内2对图片出现重叠：图1E-3及5A-2出现部分重叠，1F-1及5A-1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出现部分重叠。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209283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880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20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诚信科研编辑部发现，在Pubpeer对该文章质疑，严重漏查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（只发现1对图片重复）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，如若作者就按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Pubpeer的指引，势必会导致这篇文章面临撤回的风险。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参考消息：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https://pubpeer.com/publications/BD3F54BA383E08793CA36A5F4DDBE4#1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249&amp;idx=1&amp;sn=8a3d27916ece18c771637c516161f4db&amp;chksm=968403009d2f2090cf088ae6721656b430446f0b27b5a3ac10e85be12dc2a5d2c1cc8886a861&amp;scene=126&amp;sessionid=17421429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