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日浙江省人民医院李亚清团队在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Oncology Letters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“Lentivirus-mediated silencing of HOTAIR lncRNA restores gefitinib sensitivity by activating Bax/Caspase-3 and suppressing TGF-α/EGFR signaling in lung adenocarcinoma”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17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39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4C-2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4C-3</w:t>
      </w:r>
      <w:r>
        <w:rPr>
          <w:rStyle w:val="any"/>
          <w:rFonts w:ascii="PMingLiU" w:eastAsia="PMingLiU" w:hAnsi="PMingLiU" w:cs="PMingLiU"/>
          <w:spacing w:val="8"/>
        </w:rPr>
        <w:t>出现部分重叠，但代表不同的试验结果。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60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1&amp;sn=2937347eec02998d6ca52f3064aab091&amp;chksm=c2898ab2e504656bb4e701810e80b4fb1326f2d281d69e0361fd023d2cf46f561991ae304fae&amp;scene=126&amp;sessionid=17421430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