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子刊！中国医学科学院血液学研究所一研究被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11:47:11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91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p53-PUMA axis suppresses iPSC generation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p53-PUMA </w:t>
      </w:r>
      <w:r>
        <w:rPr>
          <w:rStyle w:val="any"/>
          <w:rFonts w:ascii="PMingLiU" w:eastAsia="PMingLiU" w:hAnsi="PMingLiU" w:cs="PMingLiU"/>
          <w:spacing w:val="8"/>
        </w:rPr>
        <w:t>轴抑制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iPSC </w:t>
      </w:r>
      <w:r>
        <w:rPr>
          <w:rStyle w:val="any"/>
          <w:rFonts w:ascii="PMingLiU" w:eastAsia="PMingLiU" w:hAnsi="PMingLiU" w:cs="PMingLiU"/>
          <w:spacing w:val="8"/>
        </w:rPr>
        <w:t>的生成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Yanxin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Tao Cheng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匹兹堡大学医学院放射肿瘤系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6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08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65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56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20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91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6429096795815939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2&amp;idx=1&amp;sn=9c4f288894785eb59860840c6471fc45&amp;chksm=c3cfd33a870f64c5961c6e6f50b5a8f1f5f03f8bed4dee9f774c02ab2c5b51637c8ee4aa1b72&amp;scene=126&amp;sessionid=17421469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