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临沂市人民医院神经外科</w:t>
        </w:r>
        <w:r>
          <w:rPr>
            <w:rStyle w:val="a"/>
            <w:rFonts w:ascii="Times New Roman" w:eastAsia="Times New Roman" w:hAnsi="Times New Roman" w:cs="Times New Roman"/>
            <w:b w:val="0"/>
            <w:bCs w:val="0"/>
            <w:spacing w:val="8"/>
          </w:rPr>
          <w:t>Int J Mol Med</w:t>
        </w:r>
        <w:r>
          <w:rPr>
            <w:rStyle w:val="a"/>
            <w:rFonts w:ascii="PMingLiU" w:eastAsia="PMingLiU" w:hAnsi="PMingLiU" w:cs="PMingLiU"/>
            <w:b w:val="0"/>
            <w:bCs w:val="0"/>
            <w:spacing w:val="8"/>
          </w:rPr>
          <w:t>论文克隆形成图雷同撤回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6016"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临沂市人民医院神经外科</w:t>
            </w:r>
            <w:r>
              <w:rPr>
                <w:rStyle w:val="any"/>
                <w:b/>
                <w:bCs/>
                <w:i w:val="0"/>
                <w:iCs w:val="0"/>
                <w:caps w:val="0"/>
                <w:smallCaps w:val="0"/>
                <w:color w:val="000000"/>
                <w:spacing w:val="8"/>
                <w:sz w:val="28"/>
                <w:szCs w:val="28"/>
              </w:rPr>
              <w:t>Int J Mol Med</w:t>
            </w:r>
            <w:r>
              <w:rPr>
                <w:rStyle w:val="any"/>
                <w:rFonts w:ascii="宋体" w:eastAsia="宋体" w:hAnsi="宋体" w:cs="宋体"/>
                <w:b/>
                <w:bCs/>
                <w:i w:val="0"/>
                <w:iCs w:val="0"/>
                <w:caps w:val="0"/>
                <w:smallCaps w:val="0"/>
                <w:color w:val="000000"/>
                <w:spacing w:val="8"/>
                <w:sz w:val="28"/>
                <w:szCs w:val="28"/>
              </w:rPr>
              <w:t>论文克隆形成图雷同撤回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MicroRNA-132 induces temozolomide resistance and promotes the formation of cancer stem cell phenotypes by targeting tumor suppressor candidate 3 in glioblastoma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MicroRNA-132</w:t>
            </w:r>
            <w:r>
              <w:rPr>
                <w:rStyle w:val="any"/>
                <w:rFonts w:ascii="PMingLiU" w:eastAsia="PMingLiU" w:hAnsi="PMingLiU" w:cs="PMingLiU"/>
                <w:b w:val="0"/>
                <w:bCs w:val="0"/>
                <w:i w:val="0"/>
                <w:iCs w:val="0"/>
                <w:caps w:val="0"/>
                <w:smallCaps w:val="0"/>
                <w:color w:val="111111"/>
                <w:spacing w:val="8"/>
                <w:sz w:val="21"/>
                <w:szCs w:val="21"/>
              </w:rPr>
              <w:t>通过靶向胶质母细胞瘤中的肿瘤抑制候选物</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尽管有多模式治疗，患有胶质母细胞瘤</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也称为多形性胶质母细胞癌（</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的患者的预后仍然很差。替莫唑胺化疗可以在一定时间内（几个月）抑制肿瘤生长；然而，不变的肿瘤复发表明胶质母细胞瘤起始细胞（</w:t>
            </w:r>
            <w:r>
              <w:rPr>
                <w:rStyle w:val="any"/>
                <w:rFonts w:ascii="Tahoma" w:eastAsia="Tahoma" w:hAnsi="Tahoma" w:cs="Tahoma"/>
                <w:b w:val="0"/>
                <w:bCs w:val="0"/>
                <w:i w:val="0"/>
                <w:iCs w:val="0"/>
                <w:caps w:val="0"/>
                <w:smallCaps w:val="0"/>
                <w:color w:val="111111"/>
                <w:spacing w:val="8"/>
                <w:sz w:val="21"/>
                <w:szCs w:val="21"/>
              </w:rPr>
              <w:t>GICs</w:t>
            </w:r>
            <w:r>
              <w:rPr>
                <w:rStyle w:val="any"/>
                <w:rFonts w:ascii="PMingLiU" w:eastAsia="PMingLiU" w:hAnsi="PMingLiU" w:cs="PMingLiU"/>
                <w:b w:val="0"/>
                <w:bCs w:val="0"/>
                <w:i w:val="0"/>
                <w:iCs w:val="0"/>
                <w:caps w:val="0"/>
                <w:smallCaps w:val="0"/>
                <w:color w:val="111111"/>
                <w:spacing w:val="8"/>
                <w:sz w:val="21"/>
                <w:szCs w:val="21"/>
              </w:rPr>
              <w:t>）使这些肿瘤持续存在。因此，了解</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进展中的作用的分子机制非常重要，因为这些知识将有助于发现新的药物靶点，以及设计新的治疗策略以更有效地治疗该疾病。在这项研究中，我们发现肿瘤抑制候选物</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）在替莫唑胺耐药的</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细胞）中下调，其恢复使</w:t>
            </w:r>
            <w:r>
              <w:rPr>
                <w:rStyle w:val="any"/>
                <w:rFonts w:ascii="Tahoma" w:eastAsia="Tahoma" w:hAnsi="Tahoma" w:cs="Tahoma"/>
                <w:b w:val="0"/>
                <w:bCs w:val="0"/>
                <w:i w:val="0"/>
                <w:iCs w:val="0"/>
                <w:caps w:val="0"/>
                <w:smallCaps w:val="0"/>
                <w:color w:val="111111"/>
                <w:spacing w:val="8"/>
                <w:sz w:val="21"/>
                <w:szCs w:val="21"/>
              </w:rPr>
              <w:t>U87MG-re</w:t>
            </w:r>
            <w:r>
              <w:rPr>
                <w:rStyle w:val="any"/>
                <w:rFonts w:ascii="PMingLiU" w:eastAsia="PMingLiU" w:hAnsi="PMingLiU" w:cs="PMingLiU"/>
                <w:b w:val="0"/>
                <w:bCs w:val="0"/>
                <w:i w:val="0"/>
                <w:iCs w:val="0"/>
                <w:caps w:val="0"/>
                <w:smallCaps w:val="0"/>
                <w:color w:val="111111"/>
                <w:spacing w:val="8"/>
                <w:sz w:val="21"/>
                <w:szCs w:val="21"/>
              </w:rPr>
              <w:t>细胞对替莫唑酰胺敏感。</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能够抑制</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表型的形成。</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-132</w:t>
            </w:r>
            <w:r>
              <w:rPr>
                <w:rStyle w:val="any"/>
                <w:rFonts w:ascii="PMingLiU" w:eastAsia="PMingLiU" w:hAnsi="PMingLiU" w:cs="PMingLiU"/>
                <w:b w:val="0"/>
                <w:bCs w:val="0"/>
                <w:i w:val="0"/>
                <w:iCs w:val="0"/>
                <w:caps w:val="0"/>
                <w:smallCaps w:val="0"/>
                <w:color w:val="111111"/>
                <w:spacing w:val="8"/>
                <w:sz w:val="21"/>
                <w:szCs w:val="21"/>
              </w:rPr>
              <w:t>的过表达抑制了</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蛋白的表达。然而，其过表达并没有降低细胞中</w:t>
            </w:r>
            <w:r>
              <w:rPr>
                <w:rStyle w:val="any"/>
                <w:rFonts w:ascii="Tahoma" w:eastAsia="Tahoma" w:hAnsi="Tahoma" w:cs="Tahoma"/>
                <w:b w:val="0"/>
                <w:bCs w:val="0"/>
                <w:i w:val="0"/>
                <w:iCs w:val="0"/>
                <w:caps w:val="0"/>
                <w:smallCaps w:val="0"/>
                <w:color w:val="111111"/>
                <w:spacing w:val="8"/>
                <w:sz w:val="21"/>
                <w:szCs w:val="21"/>
              </w:rPr>
              <w:t>TUSC3 mRNA</w:t>
            </w:r>
            <w:r>
              <w:rPr>
                <w:rStyle w:val="any"/>
                <w:rFonts w:ascii="PMingLiU" w:eastAsia="PMingLiU" w:hAnsi="PMingLiU" w:cs="PMingLiU"/>
                <w:b w:val="0"/>
                <w:bCs w:val="0"/>
                <w:i w:val="0"/>
                <w:iCs w:val="0"/>
                <w:caps w:val="0"/>
                <w:smallCaps w:val="0"/>
                <w:color w:val="111111"/>
                <w:spacing w:val="8"/>
                <w:sz w:val="21"/>
                <w:szCs w:val="21"/>
              </w:rPr>
              <w:t>的表达。</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细胞中上调，其过度表达诱导替莫唑胺耐药性，并在</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细胞中形成癌症干细胞表型。因此，我们的数据表明，</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通过靶向胶质母细胞瘤中的</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山东省临沂市临沂市人民医院神经外科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J Mol Med</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克隆形成图雷同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1312</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中显示的克隆琼脂测定数据与不同研究机构不同作者撰写的另一篇文章中以不同形式出现的数据非常相似，该文章在本文提交给《国际分子医学杂志》之前已经发表在《肿瘤靶点》杂志上。鉴于上述数据显然已经发表，《国际分子医学杂志》编辑决定从该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国际分子医学杂志</w:t>
            </w:r>
            <w:r>
              <w:rPr>
                <w:rStyle w:val="any"/>
                <w:rFonts w:ascii="Tahoma" w:eastAsia="Tahoma" w:hAnsi="Tahoma" w:cs="Tahoma"/>
                <w:b w:val="0"/>
                <w:bCs w:val="0"/>
                <w:i w:val="0"/>
                <w:iCs w:val="0"/>
                <w:caps w:val="0"/>
                <w:smallCaps w:val="0"/>
                <w:color w:val="111111"/>
                <w:spacing w:val="8"/>
                <w:sz w:val="21"/>
                <w:szCs w:val="21"/>
              </w:rPr>
              <w:t>40:1307?1314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DOI:10.3892/ijmm.2017.3124]</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14738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78666" name=""/>
                          <pic:cNvPicPr>
                            <a:picLocks noChangeAspect="1"/>
                          </pic:cNvPicPr>
                        </pic:nvPicPr>
                        <pic:blipFill>
                          <a:blip xmlns:r="http://schemas.openxmlformats.org/officeDocument/2006/relationships" r:embed="rId7"/>
                          <a:stretch>
                            <a:fillRect/>
                          </a:stretch>
                        </pic:blipFill>
                        <pic:spPr>
                          <a:xfrm>
                            <a:off x="0" y="0"/>
                            <a:ext cx="3658933" cy="1473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71640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40190" name=""/>
                          <pic:cNvPicPr>
                            <a:picLocks noChangeAspect="1"/>
                          </pic:cNvPicPr>
                        </pic:nvPicPr>
                        <pic:blipFill>
                          <a:blip xmlns:r="http://schemas.openxmlformats.org/officeDocument/2006/relationships" r:embed="rId8"/>
                          <a:stretch>
                            <a:fillRect/>
                          </a:stretch>
                        </pic:blipFill>
                        <pic:spPr>
                          <a:xfrm>
                            <a:off x="0" y="0"/>
                            <a:ext cx="3652552" cy="171640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8891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55119"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0689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31&amp;idx=1&amp;sn=318ea9a7d19043b7f57e3396ba924293&amp;chksm=c0494482b3d94144726042a176b3213d9f841611e69b2846f69003a2194987724173d1d87d86&amp;scene=126&amp;sessionid=17421418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