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上海交通大学高分论文图片整组重复遭质疑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2025-03-11 14:03:58</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41360"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48967"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2016年2月，</w:t>
      </w:r>
      <w:r>
        <w:rPr>
          <w:rStyle w:val="any"/>
          <w:rFonts w:ascii="默认字体" w:eastAsia="默认字体" w:hAnsi="默认字体" w:cs="默认字体"/>
          <w:b/>
          <w:bCs/>
          <w:color w:val="000000"/>
          <w:spacing w:val="15"/>
          <w:sz w:val="26"/>
          <w:szCs w:val="26"/>
        </w:rPr>
        <w:t>上海交通大学医学院附属新华医院核医学科，</w:t>
      </w:r>
      <w:r>
        <w:rPr>
          <w:rStyle w:val="any"/>
          <w:rFonts w:ascii="默认字体" w:eastAsia="默认字体" w:hAnsi="默认字体" w:cs="默认字体"/>
          <w:b/>
          <w:bCs/>
          <w:color w:val="000000"/>
          <w:spacing w:val="15"/>
          <w:sz w:val="26"/>
          <w:szCs w:val="26"/>
        </w:rPr>
        <w:t>上海交通大学化学化工学院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Nano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Phosphorylcholine polymer nanocapsules prolong the circulation time and reduce the immunogenicity of therapeutic proteins</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磷酸胆碱聚合物纳米胶囊延长循环时间并降低治疗性蛋白质的免疫原性</w:t>
      </w:r>
      <w:r>
        <w:rPr>
          <w:rStyle w:val="any"/>
          <w:rFonts w:ascii="默认字体" w:eastAsia="默认字体" w:hAnsi="默认字体" w:cs="默认字体"/>
          <w:color w:val="000000"/>
          <w:spacing w:val="15"/>
          <w:sz w:val="26"/>
          <w:szCs w:val="26"/>
        </w:rPr>
        <w:t>的增殖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Times New Roman" w:eastAsia="Times New Roman" w:hAnsi="Times New Roman" w:cs="Times New Roman"/>
          <w:color w:val="000000"/>
          <w:spacing w:val="15"/>
          <w:sz w:val="26"/>
          <w:szCs w:val="26"/>
        </w:rPr>
        <w:t>doi: 10.1007/s12274-016-0991-3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上海交通大学医学院附属新华医院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Sheng Liang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上海交通大学医学院附属新华医院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Hui Wang</w:t>
      </w:r>
      <w:r>
        <w:rPr>
          <w:rStyle w:val="any"/>
          <w:rFonts w:ascii="PMingLiU" w:eastAsia="PMingLiU" w:hAnsi="PMingLiU" w:cs="PMingLiU"/>
          <w:color w:val="000000"/>
          <w:spacing w:val="15"/>
          <w:sz w:val="26"/>
          <w:szCs w:val="26"/>
        </w:rPr>
        <w:t>（音译：王辉），</w:t>
      </w:r>
      <w:r>
        <w:rPr>
          <w:rStyle w:val="any"/>
          <w:rFonts w:ascii="Times New Roman" w:eastAsia="Times New Roman" w:hAnsi="Times New Roman" w:cs="Times New Roman"/>
          <w:color w:val="000000"/>
          <w:spacing w:val="15"/>
          <w:sz w:val="26"/>
          <w:szCs w:val="26"/>
        </w:rPr>
        <w:t>Linqi Shi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上海交通大学化学化工学院</w:t>
      </w:r>
      <w:r>
        <w:rPr>
          <w:rStyle w:val="any"/>
          <w:rFonts w:ascii="Times New Roman" w:eastAsia="Times New Roman" w:hAnsi="Times New Roman" w:cs="Times New Roman"/>
          <w:color w:val="000000"/>
          <w:spacing w:val="15"/>
        </w:rPr>
        <w:t> </w:t>
      </w:r>
      <w:r>
        <w:rPr>
          <w:rStyle w:val="any"/>
          <w:rFonts w:ascii="Times New Roman" w:eastAsia="Times New Roman" w:hAnsi="Times New Roman" w:cs="Times New Roman"/>
          <w:color w:val="000000"/>
          <w:spacing w:val="15"/>
          <w:sz w:val="26"/>
          <w:szCs w:val="26"/>
        </w:rPr>
        <w:t>Xinyuan Zhu</w:t>
      </w:r>
      <w:r>
        <w:rPr>
          <w:rStyle w:val="any"/>
          <w:rFonts w:ascii="PMingLiU" w:eastAsia="PMingLiU" w:hAnsi="PMingLiU" w:cs="PMingLiU"/>
          <w:color w:val="000000"/>
          <w:spacing w:val="15"/>
          <w:sz w:val="26"/>
          <w:szCs w:val="26"/>
        </w:rPr>
        <w:t>（音译：</w:t>
      </w:r>
      <w:r>
        <w:rPr>
          <w:rStyle w:val="any"/>
          <w:rFonts w:ascii="PMingLiU" w:eastAsia="PMingLiU" w:hAnsi="PMingLiU" w:cs="PMingLiU"/>
          <w:color w:val="000000"/>
          <w:spacing w:val="15"/>
          <w:sz w:val="26"/>
          <w:szCs w:val="26"/>
        </w:rPr>
        <w:t>朱新远）</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41348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029" name=""/>
                    <pic:cNvPicPr>
                      <a:picLocks noChangeAspect="1"/>
                    </pic:cNvPicPr>
                  </pic:nvPicPr>
                  <pic:blipFill>
                    <a:blip xmlns:r="http://schemas.openxmlformats.org/officeDocument/2006/relationships" r:embed="rId8"/>
                    <a:stretch>
                      <a:fillRect/>
                    </a:stretch>
                  </pic:blipFill>
                  <pic:spPr>
                    <a:xfrm>
                      <a:off x="0" y="0"/>
                      <a:ext cx="5486400" cy="34134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Actinopolyspora biskrensis</w:t>
      </w:r>
      <w:r>
        <w:rPr>
          <w:rStyle w:val="any"/>
          <w:rFonts w:ascii="Times New Roman" w:eastAsia="Times New Roman" w:hAnsi="Times New Roman" w:cs="Times New Roman"/>
          <w:b/>
          <w:bCs/>
          <w:color w:val="000000"/>
          <w:spacing w:val="15"/>
          <w:sz w:val="26"/>
          <w:szCs w:val="26"/>
        </w:rPr>
        <w:t> </w:t>
      </w:r>
      <w:r>
        <w:rPr>
          <w:rStyle w:val="any"/>
          <w:rFonts w:ascii="PMingLiU" w:eastAsia="PMingLiU" w:hAnsi="PMingLiU" w:cs="PMingLiU"/>
          <w:b/>
          <w:bCs/>
          <w:color w:val="000000"/>
          <w:spacing w:val="15"/>
          <w:sz w:val="26"/>
          <w:szCs w:val="26"/>
        </w:rPr>
        <w:t>在</w:t>
      </w:r>
      <w:r>
        <w:rPr>
          <w:rStyle w:val="any"/>
          <w:rFonts w:ascii="Times New Roman" w:eastAsia="Times New Roman" w:hAnsi="Times New Roman" w:cs="Times New Roman"/>
          <w:b/>
          <w:bCs/>
          <w:color w:val="000000"/>
          <w:spacing w:val="15"/>
          <w:sz w:val="26"/>
          <w:szCs w:val="26"/>
        </w:rPr>
        <w:t>Pubpeer</w:t>
      </w:r>
      <w:r>
        <w:rPr>
          <w:rStyle w:val="any"/>
          <w:rFonts w:ascii="PMingLiU" w:eastAsia="PMingLiU" w:hAnsi="PMingLiU" w:cs="PMingLiU"/>
          <w:b/>
          <w:bCs/>
          <w:color w:val="000000"/>
          <w:spacing w:val="15"/>
          <w:sz w:val="26"/>
          <w:szCs w:val="26"/>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3d</w:t>
      </w:r>
      <w:r>
        <w:rPr>
          <w:rStyle w:val="any"/>
          <w:rFonts w:ascii="PMingLiU" w:eastAsia="PMingLiU" w:hAnsi="PMingLiU" w:cs="PMingLiU"/>
          <w:color w:val="000000"/>
          <w:spacing w:val="15"/>
        </w:rPr>
        <w:t>中的两组图像似乎显示了一个重叠的视场（用洋红色粗略地勾勒出来）。请作者检查一下在图形组装过程中是否有错误？</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8058150" cy="10534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75986" name=""/>
                    <pic:cNvPicPr>
                      <a:picLocks noChangeAspect="1"/>
                    </pic:cNvPicPr>
                  </pic:nvPicPr>
                  <pic:blipFill>
                    <a:blip xmlns:r="http://schemas.openxmlformats.org/officeDocument/2006/relationships" r:embed="rId9"/>
                    <a:stretch>
                      <a:fillRect/>
                    </a:stretch>
                  </pic:blipFill>
                  <pic:spPr>
                    <a:xfrm>
                      <a:off x="0" y="0"/>
                      <a:ext cx="8058150" cy="10534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https://pubpeer.com/publications/BC76CF47F298EFA7E3A5E4DDFA23DA#1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浙江大学医学院附属邵逸夫医院论文重复再引热议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清华大学权威教授研究连遭质疑，重复性问题成焦点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长海医院论文竟与旧图</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撞脸</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，引发广泛质疑！</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345&amp;idx=1&amp;sn=2b292323a2fdc918269d2791cf7b5d29&amp;scene=21" TargetMode="External" /><Relationship Id="rId13" Type="http://schemas.openxmlformats.org/officeDocument/2006/relationships/hyperlink" Target="https://mp.weixin.qq.com/s?__biz=MzkyNTc2OTI4Mw==&amp;mid=2247491261&amp;idx=3&amp;sn=2842736b4f13fa3c5eb9cb625147aeb5&amp;scene=21" TargetMode="External" /><Relationship Id="rId14" Type="http://schemas.openxmlformats.org/officeDocument/2006/relationships/hyperlink" Target="https://mp.weixin.qq.com/s?__biz=MzkyNTc2OTI4Mw==&amp;mid=2247491261&amp;idx=4&amp;sn=83daf09984cfdffc1332800ed76e6229&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429&amp;idx=4&amp;sn=1e8ed69ce7a4d0846d2aaf24319e9da6&amp;chksm=c0eb41b4c70c90431734e12b6b1814bf635041b871c25e3537099f832a06ec44df2e11dc6cbd&amp;scene=126&amp;sessionid=17421415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