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涉嫌论文工厂被打假人盯上！二军医大长海医院曾任副院长领衔！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2025-03-16 09:12:33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年，主要分别来自第二军医大学东方肝胆医院普通外科和第二军医大学附属长海医院普通外科的</w:t>
      </w:r>
      <w:r>
        <w:rPr>
          <w:rStyle w:val="any"/>
          <w:rFonts w:ascii="Times New Roman" w:eastAsia="Times New Roman" w:hAnsi="Times New Roman" w:cs="Times New Roman"/>
          <w:spacing w:val="8"/>
        </w:rPr>
        <w:t xml:space="preserve"> Feng Yang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通讯作者，音译杨丰）</w:t>
      </w:r>
      <w:r>
        <w:rPr>
          <w:rStyle w:val="any"/>
          <w:rFonts w:ascii="Times New Roman" w:eastAsia="Times New Roman" w:hAnsi="Times New Roman" w:cs="Times New Roman"/>
          <w:spacing w:val="8"/>
        </w:rPr>
        <w:t xml:space="preserve"> , Zhi Zheng  , Luming Zheng , Jianmin Qin  , Haijia Li  , Xuchao Xue  , Jie Gao , Guoen Fang </w:t>
      </w:r>
      <w:r>
        <w:rPr>
          <w:rStyle w:val="any"/>
          <w:rFonts w:ascii="PMingLiU" w:eastAsia="PMingLiU" w:hAnsi="PMingLiU" w:cs="PMingLiU"/>
          <w:spacing w:val="8"/>
        </w:rPr>
        <w:t>（通讯作者，音译方国恩，曾任长海医院副院长）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OncoTargets and Therapy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SATB1 siRNA-encapsulated immunoliposomes conjugated with CD44 antibodies target and eliminate gastric cancer-initiating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三篇论文共享了带有不同标签的图像。我添加了彩色矩形以指出我的意思。未标明旋转情况。在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我认为弄清楚这里发生了什么对每个人都是最有利的。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10.2147/ijn.s181928 10.2147/ott.s182437 10.12659/msm.917735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55253" name=""/>
                    <pic:cNvPicPr>
                      <a:picLocks noChangeAspect="1"/>
                    </pic:cNvPicPr>
                  </pic:nvPicPr>
                  <pic:blipFill>
                    <a:blip xmlns:r="http://schemas.openxmlformats.org/officeDocument/2006/relationships" r:embed="rId6"/>
                    <a:stretch>
                      <a:fillRect/>
                    </a:stretch>
                  </pic:blipFill>
                  <pic:spPr>
                    <a:xfrm>
                      <a:off x="0" y="0"/>
                      <a:ext cx="5486400" cy="380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https://pubpeer.com/publications/5B6F8E821422E2A1B599ADB3467291#1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第二军医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第二军医大学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476&amp;idx=3&amp;sn=793ef04a0a0f9d747ad368cacf0a448c&amp;chksm=c0dba40dce680fbb01b2a243021588143186404b4bacb670405231a058dd71e6681c3ec3fb70&amp;scene=126&amp;sessionid=17421428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1721829223491174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