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条件不同，图像重叠？中国医学科学院血液学研究所所长高分一区研究遭质疑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Stem Cell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19.7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‘Activating innate immune responses repolarizes hPSC-derived CAR macrophages to improve anti-tumor activity’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激活先天免疫反应可重编程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hPSC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巨噬细胞以增强抗肿瘤活性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10.1016/j.stem.2024.04.012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Shen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=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Shuzhen Lyu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Yingxi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Shuo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Jinze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Junli Mou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Leling Xie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Kejing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 Wen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Xuemei Peng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Xinjie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Jianxiang Wang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（通讯作者，所长）共同完成，通讯作者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Cheng, Jianxiang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Jun Shen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中国医学科学院北京协和医学院血液学研究所、血液病医院，通讯作者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单位为中山大学药学院。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09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Gerrhosaurus bulsi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不同组中存在相同图像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9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血液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中国医学科学院血液学研究所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1&amp;sn=e5de5bf17bd042b4bae8ca1e3e16f67f&amp;chksm=c3ad854b56db75d4d3ac6a4cceb04f62c52f76cb1d817da1ddf3d75ebb6dc55f0912d5c20156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90064380079995290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