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经典期刊，南京医科大学微生物学与免疫学系陈云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Virology?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Virology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Oct;88(20):11872-85.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10.1128/JVI.01867-14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红色框和箭头：图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面板中的三条印迹看起来与图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板中三条印迹的镜像非常相似。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24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6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日，可在此处找到：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https://journals.asm.org/doi/abs/10.1128/jvi.00399-24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上面写着：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11875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E-cadherin</w:t>
      </w:r>
      <w:r>
        <w:rPr>
          <w:rStyle w:val="any"/>
          <w:rFonts w:ascii="PMingLiU" w:eastAsia="PMingLiU" w:hAnsi="PMingLiU" w:cs="PMingLiU"/>
          <w:spacing w:val="8"/>
        </w:rPr>
        <w:t>面板。图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248025" cy="3752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4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11880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MTSA1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629025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15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我们对这些错误造成的任何混淆表示歉意。此更正不影响论文的任何结论。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7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https://pubmed.ncbi.nlm.nih.gov/25100829/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527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39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陈云，南京医科大学基础医学院微生物学与免疫学系，博士，副教授，硕士生导师。研究方向：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</w:t>
      </w:r>
      <w:r>
        <w:rPr>
          <w:rStyle w:val="any"/>
          <w:rFonts w:ascii="PMingLiU" w:eastAsia="PMingLiU" w:hAnsi="PMingLiU" w:cs="PMingLiU"/>
          <w:spacing w:val="8"/>
        </w:rPr>
        <w:t>病毒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LMP2A</w:t>
      </w:r>
      <w:r>
        <w:rPr>
          <w:rStyle w:val="any"/>
          <w:rFonts w:ascii="PMingLiU" w:eastAsia="PMingLiU" w:hAnsi="PMingLiU" w:cs="PMingLiU"/>
          <w:spacing w:val="8"/>
        </w:rPr>
        <w:t>特异性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细胞受体在过继性治疗鼻咽癌中的研究；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特异性的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GVAX</w:t>
      </w:r>
      <w:r>
        <w:rPr>
          <w:rStyle w:val="any"/>
          <w:rFonts w:ascii="PMingLiU" w:eastAsia="PMingLiU" w:hAnsi="PMingLiU" w:cs="PMingLiU"/>
          <w:spacing w:val="8"/>
        </w:rPr>
        <w:t>疫苗对肝癌治疗作用的机制研究。中华医学会微生物与免疫学分会青年委员，中国免疫学会终身会员。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https://pubpeer.com/publications/7961294ABA0FAFA5BACBD8B0977A3F#3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4&amp;sn=3eecb5990cb6b05f09f065448ce910f7&amp;chksm=c397ac02e7e6598d5298e6bce470b670ccb807b53ad8ff267801d6ff1ff779b5f4c4a3c2ba3f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