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哈尔滨医科大学省特聘教授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似乎显示了代表不同实验的面板中的相似特征。与最近撤回的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篇论文共享作者身份，如下所示：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https://retractionwatch.com/2019/03/19/group-in-china-up-to-three-retractions-ostensibly-for-three-different-reasons/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2293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2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Lasioglossum packeri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5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Lasioglossum packeri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33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68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https://www.oncotarget.com/article/4814/text/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68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英，教授，博士生导师，哈尔滨医科大学第一临床医学院黑龙江省肝脾外科中心副主任，黑龙江省特聘教授。历任新西兰奥克兰大学医学院分子医学系研究员，名誉研究员，名誉高级研究员，香港大学分子生物学研究所基因治疗实验室名誉研究员，山东大学齐鲁医院普外科主治医师，副教授，山东大学兼职教授。研究领域：肿瘤基因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针对实体肿瘤包括肝癌的免疫治疗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抗肿瘤新生血管生成治疗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反义基因治疗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腺相关病毒介导的基因治疗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器官移植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肝脏和脾脏抗器官移植排斥反应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肝脏缺血再灌注和保护措施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脾细胞功能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树突状细胞功能等研究。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https://pubpeer.com/publications/C494F24D5E8153CB50C082DE5B0B03#3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5&amp;idx=3&amp;sn=e83f94de23d3a1b8f164bb99c9dc8581&amp;chksm=c3e827f885137084f977a110d1041935939962c35fd1362b445bc6c172689cd92230f68affb8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