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安徽医科大学二附院普外科研究撤稿，风波骤起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急先锋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先锋科研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13:51:54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52" w:after="252" w:line="360" w:lineRule="atLeast"/>
        <w:ind w:left="300" w:right="300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1"/>
          <w:szCs w:val="21"/>
        </w:rPr>
        <w:t>点击上方蓝字关注先锋科研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52" w:after="282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9"/>
          <w:sz w:val="23"/>
          <w:szCs w:val="23"/>
          <w:u w:val="none"/>
        </w:rPr>
        <w:drawing>
          <wp:inline>
            <wp:extent cx="342801" cy="30905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342027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2801" cy="30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52" w:after="252" w:line="360" w:lineRule="atLeast"/>
        <w:ind w:left="300" w:right="300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文</w:t>
      </w:r>
      <w:r>
        <w:rPr>
          <w:rStyle w:val="any"/>
          <w:rFonts w:ascii="Times New Roman" w:eastAsia="Times New Roman" w:hAnsi="Times New Roman" w:cs="Times New Roman"/>
          <w:color w:val="333333"/>
          <w:spacing w:val="9"/>
          <w:sz w:val="21"/>
          <w:szCs w:val="21"/>
        </w:rPr>
        <w:t xml:space="preserve"> | </w:t>
      </w:r>
      <w:r>
        <w:rPr>
          <w:rStyle w:val="any"/>
          <w:rFonts w:ascii="PMingLiU" w:eastAsia="PMingLiU" w:hAnsi="PMingLiU" w:cs="PMingLiU"/>
          <w:color w:val="333333"/>
          <w:spacing w:val="9"/>
          <w:sz w:val="21"/>
          <w:szCs w:val="21"/>
        </w:rPr>
        <w:t>急先锋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2" w:after="552" w:line="360" w:lineRule="atLeast"/>
        <w:ind w:left="435" w:right="435"/>
        <w:jc w:val="both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3"/>
          <w:szCs w:val="23"/>
        </w:rPr>
        <w:t>论文信息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近日，《Biotechnology and Applied Biochemistry》期刊上一篇题为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“Downregulation of SDCBP inhibits cell proliferation and induces apoptosis by regulating PI3K/AKT/mTOR pathway in gastric carcinoma” 下调SDCBP通过调控PI3K/AKT/mTOR通路抑制胃癌细胞增殖并诱导凋亡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的研究因细胞系问题和同行评审缺陷被撤稿。研究由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Bo Qian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（通讯作者） , Zhiheng Yao , Yang Yang , Na Li , Qiao Wang共同完成，通讯单位为安徽医科大学第二附属医院普外科。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28022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3056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0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439928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35976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9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02" w:after="552" w:line="384" w:lineRule="atLeast"/>
        <w:ind w:left="435" w:right="435" w:firstLine="0"/>
        <w:jc w:val="both"/>
        <w:rPr>
          <w:rStyle w:val="any"/>
          <w:rFonts w:ascii="Times New Roman" w:eastAsia="Times New Roman" w:hAnsi="Times New Roman" w:cs="Times New Roman"/>
          <w:color w:val="333333"/>
          <w:spacing w:val="9"/>
          <w:sz w:val="23"/>
          <w:szCs w:val="23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9"/>
          <w:sz w:val="23"/>
          <w:szCs w:val="23"/>
        </w:rPr>
        <w:t>撤稿信息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2025 年 3 月 12 日撤回.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21"/>
          <w:szCs w:val="21"/>
        </w:rPr>
        <w:t>上述文章于 2021 年 1 月 1 日在 Wiley 在线图书馆 （wileyonlinelibrary.com） 在线发表，经期刊主编 Kaiming Ye;国际生物化学和分子生物学联合会;和John Wiley &amp; Sons。由于第三方提出的担忧，已同意撤回。具体来说，本文报告了在不可验证的细胞系 BGC-803 中的实验。出版商的进一步调查发现，该文章仅基于受损的同行评审而被接受。这份手稿中的部分实验方法缺乏足够的细节来解释和再现这些发现。此外，本研究中提及和/或使用的以下细胞系被发现有问题/受到污染：BGC-823 [1， 2]、MKN-28 [3] 和 SGC-7901 [1， 2]。因此，本文的结论被编辑认为无效，文章必须被撤回。联系了作者，但没有就撤回决定做出回应。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52" w:after="252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3"/>
          <w:szCs w:val="23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5F5F5F"/>
          <w:spacing w:val="8"/>
          <w:sz w:val="20"/>
          <w:szCs w:val="20"/>
        </w:rPr>
        <w:t>参考链接：</w:t>
      </w:r>
    </w:p>
    <w:p>
      <w:pPr>
        <w:spacing w:before="0" w:after="0" w:line="48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1"/>
          <w:szCs w:val="21"/>
        </w:rPr>
        <w:t>https://pubpeer.com/publications/76F8C8EF2919AA67F1B24B414076A8</w:t>
      </w:r>
    </w:p>
    <w:p>
      <w:pPr>
        <w:shd w:val="clear" w:color="auto" w:fill="FFFFFF"/>
        <w:spacing w:before="0" w:after="150" w:line="480" w:lineRule="atLeast"/>
        <w:ind w:left="570" w:right="570" w:firstLine="0"/>
        <w:jc w:val="center"/>
        <w:rPr>
          <w:rStyle w:val="any"/>
          <w:rFonts w:ascii="Microsoft YaHei UI" w:eastAsia="Microsoft YaHei UI" w:hAnsi="Microsoft YaHei UI" w:cs="Microsoft YaHei UI"/>
          <w:color w:val="3E75B2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75B2"/>
          <w:spacing w:val="9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CFEFF"/>
        <w:spacing w:before="150" w:after="0" w:line="420" w:lineRule="atLeast"/>
        <w:ind w:left="810" w:right="810" w:firstLine="0"/>
        <w:jc w:val="center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CFEFF"/>
        <w:spacing w:before="0" w:after="0" w:line="420" w:lineRule="atLeast"/>
        <w:ind w:left="810" w:right="810" w:firstLine="0"/>
        <w:jc w:val="center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6A6A6A"/>
          <w:spacing w:val="9"/>
          <w:sz w:val="21"/>
          <w:szCs w:val="21"/>
          <w:u w:val="none"/>
        </w:rPr>
        <w:drawing>
          <wp:inline>
            <wp:extent cx="1247775" cy="12382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940320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CFEFF"/>
        <w:spacing w:before="0" w:after="0" w:line="420" w:lineRule="atLeast"/>
        <w:ind w:left="810" w:right="81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hd w:val="clear" w:color="auto" w:fill="FFE075"/>
        <w:spacing w:before="0" w:after="0" w:line="420" w:lineRule="atLeast"/>
        <w:ind w:left="810" w:right="81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hd w:val="clear" w:color="auto" w:fill="3E75B2"/>
        <w:spacing w:before="0" w:after="0" w:line="480" w:lineRule="atLeast"/>
        <w:ind w:left="1035" w:right="1035" w:firstLine="0"/>
        <w:rPr>
          <w:rStyle w:val="any"/>
          <w:rFonts w:ascii="Microsoft YaHei UI" w:eastAsia="Microsoft YaHei UI" w:hAnsi="Microsoft YaHei UI" w:cs="Microsoft YaHei UI"/>
          <w:color w:val="FFFFFF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FFFF"/>
          <w:spacing w:val="9"/>
          <w:sz w:val="18"/>
          <w:szCs w:val="18"/>
        </w:rPr>
        <w:t>免责申明</w:t>
      </w:r>
    </w:p>
    <w:p>
      <w:pPr>
        <w:shd w:val="clear" w:color="auto" w:fill="FCFEFF"/>
        <w:spacing w:before="0" w:after="0" w:line="420" w:lineRule="atLeast"/>
        <w:ind w:left="810" w:right="108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CFEFF"/>
        <w:spacing w:before="0" w:after="0" w:line="315" w:lineRule="atLeast"/>
        <w:ind w:left="930" w:right="93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18"/>
          <w:szCs w:val="18"/>
        </w:rPr>
        <w:t>本文中的所有信息均源自学术网站及已公开资料。我们虽努力确保信息的准确性与完整性，但无法对此做出绝对保证。若发现任何纰漏或不实之处，请及时联系公众号后台，以便进行更正或删除。</w:t>
      </w:r>
    </w:p>
    <w:p>
      <w:pPr>
        <w:shd w:val="clear" w:color="auto" w:fill="FCFEFF"/>
        <w:spacing w:before="0" w:after="0" w:line="360" w:lineRule="atLeast"/>
        <w:ind w:left="810" w:right="810" w:firstLine="0"/>
        <w:rPr>
          <w:rStyle w:val="any"/>
          <w:rFonts w:ascii="Microsoft YaHei UI" w:eastAsia="Microsoft YaHei UI" w:hAnsi="Microsoft YaHei UI" w:cs="Microsoft YaHei UI"/>
          <w:color w:val="193E69"/>
          <w:spacing w:val="9"/>
          <w:sz w:val="18"/>
          <w:szCs w:val="18"/>
        </w:rPr>
      </w:pPr>
    </w:p>
    <w:p>
      <w:pPr>
        <w:shd w:val="clear" w:color="auto" w:fill="FFFFFF"/>
        <w:spacing w:before="0" w:after="150" w:line="420" w:lineRule="atLeast"/>
        <w:ind w:left="570" w:right="795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hd w:val="clear" w:color="auto" w:fill="FFFFFF"/>
        <w:spacing w:before="0" w:after="150" w:line="420" w:lineRule="atLeast"/>
        <w:ind w:left="795" w:right="57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6A6A6A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c5NDgwMw==&amp;mid=2247493094&amp;idx=1&amp;sn=2d6ddc20a0e6470f24ef06eb315997fd&amp;chksm=c397350b55fc211937ccde4afd01091d3fc60c45e03df1090a673d36d724bbba0faafe627ee4&amp;scene=126&amp;sessionid=17421426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