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7453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520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22090"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76196"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2581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00749"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52700"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5293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959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c6c1eda0efd33178286663da6e50d916c9ad14aa79fe20e5ab30f69d7cc5346758d24d1f6b&amp;scene=126&amp;sessionid=17419718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