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WoS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实锤：性骚扰学者，三年内论文引用量惨遭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腰斩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，学术造假者却安然无恙？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09:01:13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42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44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近日，一项新研究引发学界关注。该研究由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Giulia Maimone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Gil Appel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Craig R. M. McKenzie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Ayelet Gneezy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等人开展，于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日发表在《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》杂志上，影响因子为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2.9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，处于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分区。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1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本周发表于《公共科学图书馆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综合》（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PLoS ONE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52FF"/>
          <w:spacing w:val="0"/>
          <w:sz w:val="20"/>
          <w:szCs w:val="20"/>
        </w:rPr>
        <w:t>）的一项分析显示，被指控有不当性行为的研究人员，在媒体报道相关指控后，其论文被引用次数开始减少。但对于被公开指控学术造假的科学家而言，情况却并非如此，他们的论文引用次数保持不变。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直以来，学术引用被视为认可前人研究贡献、推动科学进步的重要方式。此研究旨在探究针对学者的不当行为指控，对其论文引用量的影响，尤其对比了与研究价值无关的性行为不端指控，以及与研究价值直接相关的学术不端指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9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Web of 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WoS</w:t>
      </w:r>
      <w:r>
        <w:rPr>
          <w:rStyle w:val="any"/>
          <w:rFonts w:ascii="PMingLiU" w:eastAsia="PMingLiU" w:hAnsi="PMingLiU" w:cs="PMingLiU"/>
          <w:spacing w:val="8"/>
        </w:rPr>
        <w:t>）收集了涵盖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个学科、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172 </w:t>
      </w:r>
      <w:r>
        <w:rPr>
          <w:rStyle w:val="any"/>
          <w:rFonts w:ascii="PMingLiU" w:eastAsia="PMingLiU" w:hAnsi="PMingLiU" w:cs="PMingLiU"/>
          <w:spacing w:val="8"/>
        </w:rPr>
        <w:t>名被指控学者及对照学者的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31941 </w:t>
      </w:r>
      <w:r>
        <w:rPr>
          <w:rStyle w:val="any"/>
          <w:rFonts w:ascii="PMingLiU" w:eastAsia="PMingLiU" w:hAnsi="PMingLiU" w:cs="PMingLiU"/>
          <w:spacing w:val="8"/>
        </w:rPr>
        <w:t>篇出版物的引用数据。同时，他们还进行了两项研究，一项针对非学术人员（</w:t>
      </w:r>
      <w:r>
        <w:rPr>
          <w:rStyle w:val="any"/>
          <w:rFonts w:ascii="Times New Roman" w:eastAsia="Times New Roman" w:hAnsi="Times New Roman" w:cs="Times New Roman"/>
          <w:spacing w:val="8"/>
        </w:rPr>
        <w:t>N = 231</w:t>
      </w:r>
      <w:r>
        <w:rPr>
          <w:rStyle w:val="any"/>
          <w:rFonts w:ascii="PMingLiU" w:eastAsia="PMingLiU" w:hAnsi="PMingLiU" w:cs="PMingLiU"/>
          <w:spacing w:val="8"/>
        </w:rPr>
        <w:t>），另一项针对学术人员（</w:t>
      </w:r>
      <w:r>
        <w:rPr>
          <w:rStyle w:val="any"/>
          <w:rFonts w:ascii="Times New Roman" w:eastAsia="Times New Roman" w:hAnsi="Times New Roman" w:cs="Times New Roman"/>
          <w:spacing w:val="8"/>
        </w:rPr>
        <w:t>N = 240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WoS </w:t>
      </w:r>
      <w:r>
        <w:rPr>
          <w:rStyle w:val="any"/>
          <w:rFonts w:ascii="PMingLiU" w:eastAsia="PMingLiU" w:hAnsi="PMingLiU" w:cs="PMingLiU"/>
          <w:spacing w:val="8"/>
        </w:rPr>
        <w:t>数据表明，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被指控性行为不端的学者，在指控公开后的三年内，其论文引用量显著下降</w:t>
      </w:r>
      <w:r>
        <w:rPr>
          <w:rStyle w:val="any"/>
          <w:rFonts w:ascii="PMingLiU" w:eastAsia="PMingLiU" w:hAnsi="PMingLiU" w:cs="PMingLiU"/>
          <w:spacing w:val="8"/>
        </w:rPr>
        <w:t>；而被指控学术不端的学者，引用量并未出现显著下降。针对非学术人员的研究表明，人们对性行为不端的反感程度高于学术不端。但与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WoS </w:t>
      </w:r>
      <w:r>
        <w:rPr>
          <w:rStyle w:val="any"/>
          <w:rFonts w:ascii="PMingLiU" w:eastAsia="PMingLiU" w:hAnsi="PMingLiU" w:cs="PMingLiU"/>
          <w:spacing w:val="8"/>
        </w:rPr>
        <w:t>数据结果相反的是，参与研究的学术人员样本显示，他们更倾向于引用被指控性行为不端的学者，而非被指控学术不端的学者。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33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814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09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研究得出结论，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在指控公开后的前三年，被指控性行为不端的学者，相比被指控学术不端的学者，面临更大的引用惩罚。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当学者们被要求预测自己的引用行为时，却呈现出相反的模式，这表明他们可能错误预测了自己的行为，或者不愿意透露真实偏好。这项研究有助于我们深入理解学术评价体系中，不同类型不当行为指控对学者学术影响力的复杂影响，为进一步完善学术环境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https://journals.plos.org/plosone/article?id=10.1371/journal.pone.0317736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2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38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62&amp;idx=3&amp;sn=12cbeee84ec7221a2c7a64510078764c&amp;chksm=8e1e407bdb901916d5d8a7cecbcc56d45c5193887cfb8f23594f1deb39852203b8edf5fcd4cb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