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强烈谴责，多处图像元素重复，暨南大学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Rui Guo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高分论文被质疑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35698384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14:05:02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793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337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71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日，暨南大学生物医学工程系在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Carbohydrate Polymers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IF=10.7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 bioactive dextran-based hydrogel promote the healing of infected wounds via antibacterial and immunomodulatory"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STAT-NF-κB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通路，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β-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榄香烯与紫杉醇联合治疗可抑制卵巢癌细胞的生长、迁移和侵袭，并诱导其凋亡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第一作者：暨南大学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Lisheng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通讯作者：暨南大学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Rui Guo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本研究得到了广东省科技项目（编号：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2020B1111560001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）、广州市重点领域与发展计划（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202007020006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202103030003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）、黄埔区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广州开发区国际科技合作项目（编号：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2019GH11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2020GH14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）以及广东省自然资源厅海洋经济发展项目（编号：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GDNRC[2022]039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8216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537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987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048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93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In Figure 5a, a 45° rotation of the control petri dish seems to turn "No Nir" into "Nir"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353674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283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2 Gel/BP and Gel/BP/ZnO partially overlap: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49024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77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6a Control and Gel/BP overlap for a large portion of the 48h timepoint: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58599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827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6a Control and Gel/BP overlap for a large portion of the 48h timepoint: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17341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890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3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https://pubpeer.com/publications/6C9C0CAF8985A86BACBE1E0058240F#6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https://pubmed.ncbi.nlm.nih.gov/35698384/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899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59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42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420&amp;idx=5&amp;sn=cfb31327b8de99ac0c84dfc95e057aa8&amp;chksm=c331755ea86b6b11c88da4fcd06e01286075e59868f59ba454f79cc38037e33a95872499f8b2&amp;scene=126&amp;sessionid=17419707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