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南华大学附属第二医院妇产科</w:t>
        </w:r>
        <w:r>
          <w:rPr>
            <w:rStyle w:val="a"/>
            <w:rFonts w:ascii="Times New Roman" w:eastAsia="Times New Roman" w:hAnsi="Times New Roman" w:cs="Times New Roman"/>
            <w:b w:val="0"/>
            <w:bCs w:val="0"/>
            <w:spacing w:val="8"/>
          </w:rPr>
          <w:t>Oncol Lett</w:t>
        </w:r>
        <w:r>
          <w:rPr>
            <w:rStyle w:val="a"/>
            <w:rFonts w:ascii="PMingLiU" w:eastAsia="PMingLiU" w:hAnsi="PMingLiU" w:cs="PMingLiU"/>
            <w:b w:val="0"/>
            <w:bCs w:val="0"/>
            <w:spacing w:val="8"/>
          </w:rPr>
          <w:t>论文流式图雷同他人撤回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2025-03-15 11:35:24</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724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76456"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南</w:t>
            </w:r>
            <w:r>
              <w:rPr>
                <w:rStyle w:val="any"/>
                <w:rFonts w:ascii="宋体" w:eastAsia="宋体" w:hAnsi="宋体" w:cs="宋体"/>
                <w:b/>
                <w:bCs/>
                <w:i w:val="0"/>
                <w:iCs w:val="0"/>
                <w:caps w:val="0"/>
                <w:smallCaps w:val="0"/>
                <w:color w:val="111111"/>
                <w:spacing w:val="8"/>
                <w:sz w:val="28"/>
                <w:szCs w:val="28"/>
              </w:rPr>
              <w:t>华</w:t>
            </w:r>
            <w:r>
              <w:rPr>
                <w:rStyle w:val="any"/>
                <w:rFonts w:ascii="PMingLiU" w:eastAsia="PMingLiU" w:hAnsi="PMingLiU" w:cs="PMingLiU"/>
                <w:b/>
                <w:bCs/>
                <w:i w:val="0"/>
                <w:iCs w:val="0"/>
                <w:caps w:val="0"/>
                <w:smallCaps w:val="0"/>
                <w:color w:val="111111"/>
                <w:spacing w:val="8"/>
                <w:sz w:val="28"/>
                <w:szCs w:val="28"/>
              </w:rPr>
              <w:t>大学附属第二医院妇产科</w:t>
            </w:r>
            <w:r>
              <w:rPr>
                <w:rStyle w:val="any"/>
                <w:b/>
                <w:bCs/>
                <w:i w:val="0"/>
                <w:iCs w:val="0"/>
                <w:caps w:val="0"/>
                <w:smallCaps w:val="0"/>
                <w:color w:val="000000"/>
                <w:spacing w:val="8"/>
                <w:sz w:val="28"/>
                <w:szCs w:val="28"/>
              </w:rPr>
              <w:t>Oncol Lett</w:t>
            </w:r>
            <w:r>
              <w:rPr>
                <w:rStyle w:val="any"/>
                <w:rFonts w:ascii="宋体" w:eastAsia="宋体" w:hAnsi="宋体" w:cs="宋体"/>
                <w:b/>
                <w:bCs/>
                <w:i w:val="0"/>
                <w:iCs w:val="0"/>
                <w:caps w:val="0"/>
                <w:smallCaps w:val="0"/>
                <w:color w:val="000000"/>
                <w:spacing w:val="8"/>
                <w:sz w:val="28"/>
                <w:szCs w:val="28"/>
              </w:rPr>
              <w:t>论文流式图雷同他人撤回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miR-200b and miR-200c co-contribute to the cisplatin sensitivity of ovarian cancer cells by targeting DNA methyltransferases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miR-200b</w:t>
            </w:r>
            <w:r>
              <w:rPr>
                <w:rStyle w:val="any"/>
                <w:rFonts w:ascii="PMingLiU" w:eastAsia="PMingLiU" w:hAnsi="PMingLiU" w:cs="PMingLiU"/>
                <w:b w:val="0"/>
                <w:bCs w:val="0"/>
                <w:i w:val="0"/>
                <w:iCs w:val="0"/>
                <w:caps w:val="0"/>
                <w:smallCaps w:val="0"/>
                <w:color w:val="111111"/>
                <w:spacing w:val="8"/>
                <w:sz w:val="21"/>
                <w:szCs w:val="21"/>
              </w:rPr>
              <w:t>和</w:t>
            </w:r>
            <w:r>
              <w:rPr>
                <w:rStyle w:val="any"/>
                <w:b w:val="0"/>
                <w:bCs w:val="0"/>
                <w:i w:val="0"/>
                <w:iCs w:val="0"/>
                <w:caps w:val="0"/>
                <w:smallCaps w:val="0"/>
                <w:color w:val="111111"/>
                <w:spacing w:val="8"/>
                <w:sz w:val="21"/>
                <w:szCs w:val="21"/>
              </w:rPr>
              <w:t>miR-200c</w:t>
            </w:r>
            <w:r>
              <w:rPr>
                <w:rStyle w:val="any"/>
                <w:rFonts w:ascii="PMingLiU" w:eastAsia="PMingLiU" w:hAnsi="PMingLiU" w:cs="PMingLiU"/>
                <w:b w:val="0"/>
                <w:bCs w:val="0"/>
                <w:i w:val="0"/>
                <w:iCs w:val="0"/>
                <w:caps w:val="0"/>
                <w:smallCaps w:val="0"/>
                <w:color w:val="111111"/>
                <w:spacing w:val="8"/>
                <w:sz w:val="21"/>
                <w:szCs w:val="21"/>
              </w:rPr>
              <w:t>通过靶向</w:t>
            </w:r>
            <w:r>
              <w:rPr>
                <w:rStyle w:val="any"/>
                <w:b w:val="0"/>
                <w:bCs w:val="0"/>
                <w:i w:val="0"/>
                <w:iCs w:val="0"/>
                <w:caps w:val="0"/>
                <w:smallCaps w:val="0"/>
                <w:color w:val="111111"/>
                <w:spacing w:val="8"/>
                <w:sz w:val="21"/>
                <w:szCs w:val="21"/>
              </w:rPr>
              <w:t>DNA</w:t>
            </w:r>
            <w:r>
              <w:rPr>
                <w:rStyle w:val="any"/>
                <w:rFonts w:ascii="PMingLiU" w:eastAsia="PMingLiU" w:hAnsi="PMingLiU" w:cs="PMingLiU"/>
                <w:b w:val="0"/>
                <w:bCs w:val="0"/>
                <w:i w:val="0"/>
                <w:iCs w:val="0"/>
                <w:caps w:val="0"/>
                <w:smallCaps w:val="0"/>
                <w:color w:val="111111"/>
                <w:spacing w:val="8"/>
                <w:sz w:val="21"/>
                <w:szCs w:val="21"/>
              </w:rPr>
              <w:t>甲基转移酶共同促进卵巢癌症细胞对顺铂的敏感性</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顺铂是一种常用于治疗癌症上皮癌（</w:t>
            </w:r>
            <w:r>
              <w:rPr>
                <w:rStyle w:val="any"/>
                <w:rFonts w:ascii="Tahoma" w:eastAsia="Tahoma" w:hAnsi="Tahoma" w:cs="Tahoma"/>
                <w:b w:val="0"/>
                <w:bCs w:val="0"/>
                <w:i w:val="0"/>
                <w:iCs w:val="0"/>
                <w:caps w:val="0"/>
                <w:smallCaps w:val="0"/>
                <w:color w:val="111111"/>
                <w:spacing w:val="8"/>
                <w:sz w:val="21"/>
                <w:szCs w:val="21"/>
              </w:rPr>
              <w:t>EOC</w:t>
            </w:r>
            <w:r>
              <w:rPr>
                <w:rStyle w:val="any"/>
                <w:rFonts w:ascii="PMingLiU" w:eastAsia="PMingLiU" w:hAnsi="PMingLiU" w:cs="PMingLiU"/>
                <w:b w:val="0"/>
                <w:bCs w:val="0"/>
                <w:i w:val="0"/>
                <w:iCs w:val="0"/>
                <w:caps w:val="0"/>
                <w:smallCaps w:val="0"/>
                <w:color w:val="111111"/>
                <w:spacing w:val="8"/>
                <w:sz w:val="21"/>
                <w:szCs w:val="21"/>
              </w:rPr>
              <w:t>）的一线化疗药物。然而，对顺铂的不敏感性显著影响化疗的结果。微小</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miRNAs/miRs</w:t>
            </w:r>
            <w:r>
              <w:rPr>
                <w:rStyle w:val="any"/>
                <w:rFonts w:ascii="PMingLiU" w:eastAsia="PMingLiU" w:hAnsi="PMingLiU" w:cs="PMingLiU"/>
                <w:b w:val="0"/>
                <w:bCs w:val="0"/>
                <w:i w:val="0"/>
                <w:iCs w:val="0"/>
                <w:caps w:val="0"/>
                <w:smallCaps w:val="0"/>
                <w:color w:val="111111"/>
                <w:spacing w:val="8"/>
                <w:sz w:val="21"/>
                <w:szCs w:val="21"/>
              </w:rPr>
              <w:t>）已被证明可调节多种类型癌症的耐药性。本研究的目的是研究参与调节卵巢癌症细胞耐药性的关键</w:t>
            </w:r>
            <w:r>
              <w:rPr>
                <w:rStyle w:val="any"/>
                <w:rFonts w:ascii="Tahoma" w:eastAsia="Tahoma" w:hAnsi="Tahoma" w:cs="Tahoma"/>
                <w:b w:val="0"/>
                <w:bCs w:val="0"/>
                <w:i w:val="0"/>
                <w:iCs w:val="0"/>
                <w:caps w:val="0"/>
                <w:smallCaps w:val="0"/>
                <w:color w:val="111111"/>
                <w:spacing w:val="8"/>
                <w:sz w:val="21"/>
                <w:szCs w:val="21"/>
              </w:rPr>
              <w:t>miRNA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miR-200b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miR-200c</w:t>
            </w:r>
            <w:r>
              <w:rPr>
                <w:rStyle w:val="any"/>
                <w:rFonts w:ascii="PMingLiU" w:eastAsia="PMingLiU" w:hAnsi="PMingLiU" w:cs="PMingLiU"/>
                <w:b w:val="0"/>
                <w:bCs w:val="0"/>
                <w:i w:val="0"/>
                <w:iCs w:val="0"/>
                <w:caps w:val="0"/>
                <w:smallCaps w:val="0"/>
                <w:color w:val="111111"/>
                <w:spacing w:val="8"/>
                <w:sz w:val="21"/>
                <w:szCs w:val="21"/>
              </w:rPr>
              <w:t>被鉴定为在卵巢癌症中经常失调。在顺铂存在的情况下，</w:t>
            </w:r>
            <w:r>
              <w:rPr>
                <w:rStyle w:val="any"/>
                <w:rFonts w:ascii="Tahoma" w:eastAsia="Tahoma" w:hAnsi="Tahoma" w:cs="Tahoma"/>
                <w:b w:val="0"/>
                <w:bCs w:val="0"/>
                <w:i w:val="0"/>
                <w:iCs w:val="0"/>
                <w:caps w:val="0"/>
                <w:smallCaps w:val="0"/>
                <w:color w:val="111111"/>
                <w:spacing w:val="8"/>
                <w:sz w:val="21"/>
                <w:szCs w:val="21"/>
              </w:rPr>
              <w:t>miR-200b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miR-200c</w:t>
            </w:r>
            <w:r>
              <w:rPr>
                <w:rStyle w:val="any"/>
                <w:rFonts w:ascii="PMingLiU" w:eastAsia="PMingLiU" w:hAnsi="PMingLiU" w:cs="PMingLiU"/>
                <w:b w:val="0"/>
                <w:bCs w:val="0"/>
                <w:i w:val="0"/>
                <w:iCs w:val="0"/>
                <w:caps w:val="0"/>
                <w:smallCaps w:val="0"/>
                <w:color w:val="111111"/>
                <w:spacing w:val="8"/>
                <w:sz w:val="21"/>
                <w:szCs w:val="21"/>
              </w:rPr>
              <w:t>的上调促进了</w:t>
            </w:r>
            <w:r>
              <w:rPr>
                <w:rStyle w:val="any"/>
                <w:rFonts w:ascii="Tahoma" w:eastAsia="Tahoma" w:hAnsi="Tahoma" w:cs="Tahoma"/>
                <w:b w:val="0"/>
                <w:bCs w:val="0"/>
                <w:i w:val="0"/>
                <w:iCs w:val="0"/>
                <w:caps w:val="0"/>
                <w:smallCaps w:val="0"/>
                <w:color w:val="111111"/>
                <w:spacing w:val="8"/>
                <w:sz w:val="21"/>
                <w:szCs w:val="21"/>
              </w:rPr>
              <w:t>EOC</w:t>
            </w:r>
            <w:r>
              <w:rPr>
                <w:rStyle w:val="any"/>
                <w:rFonts w:ascii="PMingLiU" w:eastAsia="PMingLiU" w:hAnsi="PMingLiU" w:cs="PMingLiU"/>
                <w:b w:val="0"/>
                <w:bCs w:val="0"/>
                <w:i w:val="0"/>
                <w:iCs w:val="0"/>
                <w:caps w:val="0"/>
                <w:smallCaps w:val="0"/>
                <w:color w:val="111111"/>
                <w:spacing w:val="8"/>
                <w:sz w:val="21"/>
                <w:szCs w:val="21"/>
              </w:rPr>
              <w:t>细胞的死亡。在小鼠模型中，</w:t>
            </w:r>
            <w:r>
              <w:rPr>
                <w:rStyle w:val="any"/>
                <w:rFonts w:ascii="Tahoma" w:eastAsia="Tahoma" w:hAnsi="Tahoma" w:cs="Tahoma"/>
                <w:b w:val="0"/>
                <w:bCs w:val="0"/>
                <w:i w:val="0"/>
                <w:iCs w:val="0"/>
                <w:caps w:val="0"/>
                <w:smallCaps w:val="0"/>
                <w:color w:val="111111"/>
                <w:spacing w:val="8"/>
                <w:sz w:val="21"/>
                <w:szCs w:val="21"/>
              </w:rPr>
              <w:t>miR-125b-5p</w:t>
            </w:r>
            <w:r>
              <w:rPr>
                <w:rStyle w:val="any"/>
                <w:rFonts w:ascii="PMingLiU" w:eastAsia="PMingLiU" w:hAnsi="PMingLiU" w:cs="PMingLiU"/>
                <w:b w:val="0"/>
                <w:bCs w:val="0"/>
                <w:i w:val="0"/>
                <w:iCs w:val="0"/>
                <w:caps w:val="0"/>
                <w:smallCaps w:val="0"/>
                <w:color w:val="111111"/>
                <w:spacing w:val="8"/>
                <w:sz w:val="21"/>
                <w:szCs w:val="21"/>
              </w:rPr>
              <w:t>的上调与顺铂联合使用显著降低了肿瘤生长。值得注意的是，</w:t>
            </w:r>
            <w:r>
              <w:rPr>
                <w:rStyle w:val="any"/>
                <w:rFonts w:ascii="Tahoma" w:eastAsia="Tahoma" w:hAnsi="Tahoma" w:cs="Tahoma"/>
                <w:b w:val="0"/>
                <w:bCs w:val="0"/>
                <w:i w:val="0"/>
                <w:iCs w:val="0"/>
                <w:caps w:val="0"/>
                <w:smallCaps w:val="0"/>
                <w:color w:val="111111"/>
                <w:spacing w:val="8"/>
                <w:sz w:val="21"/>
                <w:szCs w:val="21"/>
              </w:rPr>
              <w:t>miR-200b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miR-200c</w:t>
            </w:r>
            <w:r>
              <w:rPr>
                <w:rStyle w:val="any"/>
                <w:rFonts w:ascii="PMingLiU" w:eastAsia="PMingLiU" w:hAnsi="PMingLiU" w:cs="PMingLiU"/>
                <w:b w:val="0"/>
                <w:bCs w:val="0"/>
                <w:i w:val="0"/>
                <w:iCs w:val="0"/>
                <w:caps w:val="0"/>
                <w:smallCaps w:val="0"/>
                <w:color w:val="111111"/>
                <w:spacing w:val="8"/>
                <w:sz w:val="21"/>
                <w:szCs w:val="21"/>
              </w:rPr>
              <w:t>通过靶向</w:t>
            </w:r>
            <w:r>
              <w:rPr>
                <w:rStyle w:val="any"/>
                <w:rFonts w:ascii="Tahoma" w:eastAsia="Tahoma" w:hAnsi="Tahoma" w:cs="Tahoma"/>
                <w:b w:val="0"/>
                <w:bCs w:val="0"/>
                <w:i w:val="0"/>
                <w:iCs w:val="0"/>
                <w:caps w:val="0"/>
                <w:smallCaps w:val="0"/>
                <w:color w:val="111111"/>
                <w:spacing w:val="8"/>
                <w:sz w:val="21"/>
                <w:szCs w:val="21"/>
              </w:rPr>
              <w:t>DNA</w:t>
            </w:r>
            <w:r>
              <w:rPr>
                <w:rStyle w:val="any"/>
                <w:rFonts w:ascii="PMingLiU" w:eastAsia="PMingLiU" w:hAnsi="PMingLiU" w:cs="PMingLiU"/>
                <w:b w:val="0"/>
                <w:bCs w:val="0"/>
                <w:i w:val="0"/>
                <w:iCs w:val="0"/>
                <w:caps w:val="0"/>
                <w:smallCaps w:val="0"/>
                <w:color w:val="111111"/>
                <w:spacing w:val="8"/>
                <w:sz w:val="21"/>
                <w:szCs w:val="21"/>
              </w:rPr>
              <w:t>甲基转移酶（</w:t>
            </w:r>
            <w:r>
              <w:rPr>
                <w:rStyle w:val="any"/>
                <w:rFonts w:ascii="Tahoma" w:eastAsia="Tahoma" w:hAnsi="Tahoma" w:cs="Tahoma"/>
                <w:b w:val="0"/>
                <w:bCs w:val="0"/>
                <w:i w:val="0"/>
                <w:iCs w:val="0"/>
                <w:caps w:val="0"/>
                <w:smallCaps w:val="0"/>
                <w:color w:val="111111"/>
                <w:spacing w:val="8"/>
                <w:sz w:val="21"/>
                <w:szCs w:val="21"/>
              </w:rPr>
              <w:t>DNMT</w:t>
            </w:r>
            <w:r>
              <w:rPr>
                <w:rStyle w:val="any"/>
                <w:rFonts w:ascii="PMingLiU" w:eastAsia="PMingLiU" w:hAnsi="PMingLiU" w:cs="PMingLiU"/>
                <w:b w:val="0"/>
                <w:bCs w:val="0"/>
                <w:i w:val="0"/>
                <w:iCs w:val="0"/>
                <w:caps w:val="0"/>
                <w:smallCaps w:val="0"/>
                <w:color w:val="111111"/>
                <w:spacing w:val="8"/>
                <w:sz w:val="21"/>
                <w:szCs w:val="21"/>
              </w:rPr>
              <w:t>）（直接靶向</w:t>
            </w:r>
            <w:r>
              <w:rPr>
                <w:rStyle w:val="any"/>
                <w:rFonts w:ascii="Tahoma" w:eastAsia="Tahoma" w:hAnsi="Tahoma" w:cs="Tahoma"/>
                <w:b w:val="0"/>
                <w:bCs w:val="0"/>
                <w:i w:val="0"/>
                <w:iCs w:val="0"/>
                <w:caps w:val="0"/>
                <w:smallCaps w:val="0"/>
                <w:color w:val="111111"/>
                <w:spacing w:val="8"/>
                <w:sz w:val="21"/>
                <w:szCs w:val="21"/>
              </w:rPr>
              <w:t>DNMT3A/DNMT3B</w:t>
            </w:r>
            <w:r>
              <w:rPr>
                <w:rStyle w:val="any"/>
                <w:rFonts w:ascii="PMingLiU" w:eastAsia="PMingLiU" w:hAnsi="PMingLiU" w:cs="PMingLiU"/>
                <w:b w:val="0"/>
                <w:bCs w:val="0"/>
                <w:i w:val="0"/>
                <w:iCs w:val="0"/>
                <w:caps w:val="0"/>
                <w:smallCaps w:val="0"/>
                <w:color w:val="111111"/>
                <w:spacing w:val="8"/>
                <w:sz w:val="21"/>
                <w:szCs w:val="21"/>
              </w:rPr>
              <w:t>，并通过特异性蛋白</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间接靶向</w:t>
            </w:r>
            <w:r>
              <w:rPr>
                <w:rStyle w:val="any"/>
                <w:rFonts w:ascii="Tahoma" w:eastAsia="Tahoma" w:hAnsi="Tahoma" w:cs="Tahoma"/>
                <w:b w:val="0"/>
                <w:bCs w:val="0"/>
                <w:i w:val="0"/>
                <w:iCs w:val="0"/>
                <w:caps w:val="0"/>
                <w:smallCaps w:val="0"/>
                <w:color w:val="111111"/>
                <w:spacing w:val="8"/>
                <w:sz w:val="21"/>
                <w:szCs w:val="21"/>
              </w:rPr>
              <w:t>DNMT 1</w:t>
            </w:r>
            <w:r>
              <w:rPr>
                <w:rStyle w:val="any"/>
                <w:rFonts w:ascii="PMingLiU" w:eastAsia="PMingLiU" w:hAnsi="PMingLiU" w:cs="PMingLiU"/>
                <w:b w:val="0"/>
                <w:bCs w:val="0"/>
                <w:i w:val="0"/>
                <w:iCs w:val="0"/>
                <w:caps w:val="0"/>
                <w:smallCaps w:val="0"/>
                <w:color w:val="111111"/>
                <w:spacing w:val="8"/>
                <w:sz w:val="21"/>
                <w:szCs w:val="21"/>
              </w:rPr>
              <w:t>）逆转顺铂耐药性。这些结果表明，</w:t>
            </w:r>
            <w:r>
              <w:rPr>
                <w:rStyle w:val="any"/>
                <w:rFonts w:ascii="Tahoma" w:eastAsia="Tahoma" w:hAnsi="Tahoma" w:cs="Tahoma"/>
                <w:b w:val="0"/>
                <w:bCs w:val="0"/>
                <w:i w:val="0"/>
                <w:iCs w:val="0"/>
                <w:caps w:val="0"/>
                <w:smallCaps w:val="0"/>
                <w:color w:val="111111"/>
                <w:spacing w:val="8"/>
                <w:sz w:val="21"/>
                <w:szCs w:val="21"/>
              </w:rPr>
              <w:t>miR-200b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miR-200c</w:t>
            </w:r>
            <w:r>
              <w:rPr>
                <w:rStyle w:val="any"/>
                <w:rFonts w:ascii="PMingLiU" w:eastAsia="PMingLiU" w:hAnsi="PMingLiU" w:cs="PMingLiU"/>
                <w:b w:val="0"/>
                <w:bCs w:val="0"/>
                <w:i w:val="0"/>
                <w:iCs w:val="0"/>
                <w:caps w:val="0"/>
                <w:smallCaps w:val="0"/>
                <w:color w:val="111111"/>
                <w:spacing w:val="8"/>
                <w:sz w:val="21"/>
                <w:szCs w:val="21"/>
              </w:rPr>
              <w:t>介导的</w:t>
            </w:r>
            <w:r>
              <w:rPr>
                <w:rStyle w:val="any"/>
                <w:rFonts w:ascii="Tahoma" w:eastAsia="Tahoma" w:hAnsi="Tahoma" w:cs="Tahoma"/>
                <w:b w:val="0"/>
                <w:bCs w:val="0"/>
                <w:i w:val="0"/>
                <w:iCs w:val="0"/>
                <w:caps w:val="0"/>
                <w:smallCaps w:val="0"/>
                <w:color w:val="111111"/>
                <w:spacing w:val="8"/>
                <w:sz w:val="21"/>
                <w:szCs w:val="21"/>
              </w:rPr>
              <w:t>DNMT</w:t>
            </w:r>
            <w:r>
              <w:rPr>
                <w:rStyle w:val="any"/>
                <w:rFonts w:ascii="PMingLiU" w:eastAsia="PMingLiU" w:hAnsi="PMingLiU" w:cs="PMingLiU"/>
                <w:b w:val="0"/>
                <w:bCs w:val="0"/>
                <w:i w:val="0"/>
                <w:iCs w:val="0"/>
                <w:caps w:val="0"/>
                <w:smallCaps w:val="0"/>
                <w:color w:val="111111"/>
                <w:spacing w:val="8"/>
                <w:sz w:val="21"/>
                <w:szCs w:val="21"/>
              </w:rPr>
              <w:t>调控在细胞对顺铂的反应中起着至关重要的作用。</w:t>
            </w:r>
            <w:r>
              <w:rPr>
                <w:rStyle w:val="any"/>
                <w:rFonts w:ascii="Tahoma" w:eastAsia="Tahoma" w:hAnsi="Tahoma" w:cs="Tahoma"/>
                <w:b w:val="0"/>
                <w:bCs w:val="0"/>
                <w:i w:val="0"/>
                <w:iCs w:val="0"/>
                <w:caps w:val="0"/>
                <w:smallCaps w:val="0"/>
                <w:color w:val="111111"/>
                <w:spacing w:val="8"/>
                <w:sz w:val="21"/>
                <w:szCs w:val="21"/>
              </w:rPr>
              <w:t>miR-200b-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miR-200c-</w:t>
            </w:r>
            <w:r>
              <w:rPr>
                <w:rStyle w:val="any"/>
                <w:rFonts w:ascii="PMingLiU" w:eastAsia="PMingLiU" w:hAnsi="PMingLiU" w:cs="PMingLiU"/>
                <w:b w:val="0"/>
                <w:bCs w:val="0"/>
                <w:i w:val="0"/>
                <w:iCs w:val="0"/>
                <w:caps w:val="0"/>
                <w:smallCaps w:val="0"/>
                <w:color w:val="111111"/>
                <w:spacing w:val="8"/>
                <w:sz w:val="21"/>
                <w:szCs w:val="21"/>
              </w:rPr>
              <w:t>介导的</w:t>
            </w:r>
            <w:r>
              <w:rPr>
                <w:rStyle w:val="any"/>
                <w:rFonts w:ascii="Tahoma" w:eastAsia="Tahoma" w:hAnsi="Tahoma" w:cs="Tahoma"/>
                <w:b w:val="0"/>
                <w:bCs w:val="0"/>
                <w:i w:val="0"/>
                <w:iCs w:val="0"/>
                <w:caps w:val="0"/>
                <w:smallCaps w:val="0"/>
                <w:color w:val="111111"/>
                <w:spacing w:val="8"/>
                <w:sz w:val="21"/>
                <w:szCs w:val="21"/>
              </w:rPr>
              <w:t>DNMT</w:t>
            </w:r>
            <w:r>
              <w:rPr>
                <w:rStyle w:val="any"/>
                <w:rFonts w:ascii="PMingLiU" w:eastAsia="PMingLiU" w:hAnsi="PMingLiU" w:cs="PMingLiU"/>
                <w:b w:val="0"/>
                <w:bCs w:val="0"/>
                <w:i w:val="0"/>
                <w:iCs w:val="0"/>
                <w:caps w:val="0"/>
                <w:smallCaps w:val="0"/>
                <w:color w:val="111111"/>
                <w:spacing w:val="8"/>
                <w:sz w:val="21"/>
                <w:szCs w:val="21"/>
              </w:rPr>
              <w:t>下调可以通过增加癌症细胞的敏感性来提高化疗效果，因此可能对卵巢癌症治疗产生影响。</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南</w:t>
            </w:r>
            <w:r>
              <w:rPr>
                <w:rStyle w:val="any"/>
                <w:rFonts w:ascii="宋体" w:eastAsia="宋体" w:hAnsi="宋体" w:cs="宋体"/>
                <w:b w:val="0"/>
                <w:bCs w:val="0"/>
                <w:i w:val="0"/>
                <w:iCs w:val="0"/>
                <w:caps w:val="0"/>
                <w:smallCaps w:val="0"/>
                <w:color w:val="111111"/>
                <w:spacing w:val="8"/>
                <w:sz w:val="21"/>
                <w:szCs w:val="21"/>
              </w:rPr>
              <w:t>华</w:t>
            </w:r>
            <w:r>
              <w:rPr>
                <w:rStyle w:val="any"/>
                <w:rFonts w:ascii="PMingLiU" w:eastAsia="PMingLiU" w:hAnsi="PMingLiU" w:cs="PMingLiU"/>
                <w:b w:val="0"/>
                <w:bCs w:val="0"/>
                <w:i w:val="0"/>
                <w:iCs w:val="0"/>
                <w:caps w:val="0"/>
                <w:smallCaps w:val="0"/>
                <w:color w:val="111111"/>
                <w:spacing w:val="8"/>
                <w:sz w:val="21"/>
                <w:szCs w:val="21"/>
              </w:rPr>
              <w:t>大学附属第二医院妇产科，湖南衡阳，邮编</w:t>
            </w:r>
            <w:r>
              <w:rPr>
                <w:rStyle w:val="any"/>
                <w:rFonts w:ascii="Tahoma" w:eastAsia="Tahoma" w:hAnsi="Tahoma" w:cs="Tahoma"/>
                <w:b w:val="0"/>
                <w:bCs w:val="0"/>
                <w:i w:val="0"/>
                <w:iCs w:val="0"/>
                <w:caps w:val="0"/>
                <w:smallCaps w:val="0"/>
                <w:color w:val="111111"/>
                <w:spacing w:val="8"/>
                <w:sz w:val="21"/>
                <w:szCs w:val="21"/>
              </w:rPr>
              <w:t>421001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中南大学湘雅医院老年医学科，湖南长沙</w:t>
            </w:r>
            <w:r>
              <w:rPr>
                <w:rStyle w:val="any"/>
                <w:rFonts w:ascii="Tahoma" w:eastAsia="Tahoma" w:hAnsi="Tahoma" w:cs="Tahoma"/>
                <w:b w:val="0"/>
                <w:bCs w:val="0"/>
                <w:i w:val="0"/>
                <w:iCs w:val="0"/>
                <w:caps w:val="0"/>
                <w:smallCaps w:val="0"/>
                <w:color w:val="111111"/>
                <w:spacing w:val="8"/>
                <w:sz w:val="21"/>
                <w:szCs w:val="21"/>
              </w:rPr>
              <w:t>410008</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南</w:t>
            </w:r>
            <w:r>
              <w:rPr>
                <w:rStyle w:val="any"/>
                <w:rFonts w:ascii="宋体" w:eastAsia="宋体" w:hAnsi="宋体" w:cs="宋体"/>
                <w:b w:val="0"/>
                <w:bCs w:val="0"/>
                <w:i w:val="0"/>
                <w:iCs w:val="0"/>
                <w:caps w:val="0"/>
                <w:smallCaps w:val="0"/>
                <w:color w:val="111111"/>
                <w:spacing w:val="8"/>
                <w:sz w:val="21"/>
                <w:szCs w:val="21"/>
              </w:rPr>
              <w:t>华</w:t>
            </w:r>
            <w:r>
              <w:rPr>
                <w:rStyle w:val="any"/>
                <w:rFonts w:ascii="PMingLiU" w:eastAsia="PMingLiU" w:hAnsi="PMingLiU" w:cs="PMingLiU"/>
                <w:b w:val="0"/>
                <w:bCs w:val="0"/>
                <w:i w:val="0"/>
                <w:iCs w:val="0"/>
                <w:caps w:val="0"/>
                <w:smallCaps w:val="0"/>
                <w:color w:val="111111"/>
                <w:spacing w:val="8"/>
                <w:sz w:val="21"/>
                <w:szCs w:val="21"/>
              </w:rPr>
              <w:t>大学附属第二医院关节外科，湖南衡阳</w:t>
            </w:r>
            <w:r>
              <w:rPr>
                <w:rStyle w:val="any"/>
                <w:rFonts w:ascii="Tahoma" w:eastAsia="Tahoma" w:hAnsi="Tahoma" w:cs="Tahoma"/>
                <w:b w:val="0"/>
                <w:bCs w:val="0"/>
                <w:i w:val="0"/>
                <w:iCs w:val="0"/>
                <w:caps w:val="0"/>
                <w:smallCaps w:val="0"/>
                <w:color w:val="111111"/>
                <w:spacing w:val="8"/>
                <w:sz w:val="21"/>
                <w:szCs w:val="21"/>
              </w:rPr>
              <w:t>421001</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Oncol Lett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流式图雷同他人</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1456</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所示的某些流式细胞术分析数据已经出现在不同研究机构的不同作者之前发表的一对文章中。由于上述文章中有争议的数据在提交给《肿瘤学快报》之前已经发表，编辑决定从《杂志》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4554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8782" name=""/>
                          <pic:cNvPicPr>
                            <a:picLocks noChangeAspect="1"/>
                          </pic:cNvPicPr>
                        </pic:nvPicPr>
                        <pic:blipFill>
                          <a:blip xmlns:r="http://schemas.openxmlformats.org/officeDocument/2006/relationships" r:embed="rId7"/>
                          <a:stretch>
                            <a:fillRect/>
                          </a:stretch>
                        </pic:blipFill>
                        <pic:spPr>
                          <a:xfrm>
                            <a:off x="0" y="0"/>
                            <a:ext cx="3655123" cy="14554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9600" cy="16275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28402" name=""/>
                          <pic:cNvPicPr>
                            <a:picLocks noChangeAspect="1"/>
                          </pic:cNvPicPr>
                        </pic:nvPicPr>
                        <pic:blipFill>
                          <a:blip xmlns:r="http://schemas.openxmlformats.org/officeDocument/2006/relationships" r:embed="rId8"/>
                          <a:stretch>
                            <a:fillRect/>
                          </a:stretch>
                        </pic:blipFill>
                        <pic:spPr>
                          <a:xfrm>
                            <a:off x="0" y="0"/>
                            <a:ext cx="3659600" cy="162753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15074"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56981" name=""/>
                    <pic:cNvPicPr>
                      <a:picLocks noChangeAspect="1"/>
                    </pic:cNvPicPr>
                  </pic:nvPicPr>
                  <pic:blipFill>
                    <a:blip xmlns:r="http://schemas.openxmlformats.org/officeDocument/2006/relationships" r:embed="rId10"/>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6404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761&amp;idx=1&amp;sn=ecb620e715f37734bfa8e62e68049e4c&amp;chksm=c0694f4a96e41dd1ef50148af3168883ad6fc30640943156f470407c25e77906591a30d1b549&amp;scene=126&amp;sessionid=17420100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