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深圳市第二人民医院论文因免疫组化图问题被质疑，同年早期论文受牵连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23:37:04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2022年5月，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深圳市第二人民医院(深圳大学第一附属医院)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Bioengineered（IF 4.1998 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“LncRNA MALAT1 promotes tenogenic differentiation of tendon-derived stem cells via regulating the miR-378a-3p/MAPK1 axis”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 LncRNA MALAT1通过调节miR-378a-3p/MAPK1轴促进肌腱源性干细胞的肌腱分化）。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第一作者：深圳市第二人民医院的Zhe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通讯作者：深圳市第二人民医院的Wencui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本研究共受3项基金支持：深圳市卫健委资助，课题建设能力提升项目（批准号：SZXJ2018065），广东省医学科研基金项目（批准号A2018262），深圳市卫生和计划生育委员会三明项目（批准号：SZSM201612086）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697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3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961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009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8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757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60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https://pubpeer.com/publications/1F64997F2E39A968246C566B76DE89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67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3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814&amp;idx=1&amp;sn=86141ef51608ebfba324aace27c10c84&amp;chksm=c23c23069e31fcd9244c9e07be8da9724962a81212648ec3888e6f67858bad71a3860bce97fd&amp;scene=126&amp;sessionid=17419713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