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中科院与爱思唯尔达成开放出版合作协议！作者只需承担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40% APC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14:22:36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据悉，中国科学院与爱思唯尔出版社正式达成合作协议：即日起至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日，中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国科学院作者在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Elsevier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出版社出版的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1638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种期刊上以开放获取（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Open Access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，简称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OA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）形式发表论文可享受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60%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的论文处理费（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Article Processing Charge, 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APC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）折扣，即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作者只需承担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40%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APC</w:t>
      </w:r>
      <w:r>
        <w:rPr>
          <w:rStyle w:val="any"/>
          <w:rFonts w:ascii="PMingLiU" w:eastAsia="PMingLiU" w:hAnsi="PMingLiU" w:cs="PMingLiU"/>
          <w:color w:val="000000"/>
          <w:spacing w:val="8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690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7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color w:val="7B0C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0C00"/>
          <w:spacing w:val="8"/>
          <w:sz w:val="21"/>
          <w:szCs w:val="21"/>
        </w:rPr>
        <w:t>协议核心要素：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协议的有效期</w:t>
      </w:r>
    </w:p>
    <w:p>
      <w:pPr>
        <w:spacing w:before="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文章初审接受日期需在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2027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8"/>
          <w:sz w:val="21"/>
          <w:szCs w:val="21"/>
        </w:rPr>
        <w:t>日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期间。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期刊覆盖范围</w:t>
      </w:r>
    </w:p>
    <w:p>
      <w:pPr>
        <w:spacing w:before="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涵盖爱思唯尔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1600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余种混合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期刊，详细目录可通过官网查询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(https://agreements.journals.elsevier.com/chinese-academy-of-sciences)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许可协议类型</w:t>
      </w:r>
    </w:p>
    <w:p>
      <w:pPr>
        <w:spacing w:before="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作者可选择知识共享许可协议中的商业许可（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CC BY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）或非商业许可（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CC BY-NC-ND/CC BY-NC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），具体可选类型视期刊政策而定。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4.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支持文章类型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案例报告、数据简报、全文论文、微论文、原创软件发布、实践指南、研究方案、综述文章、重复性研究、短篇通讯、简要调查、视频论文。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5.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获支持的机构</w:t>
      </w:r>
    </w:p>
    <w:p>
      <w:pPr>
        <w:spacing w:before="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通讯作者选择机构名称为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9"/>
          <w:sz w:val="21"/>
          <w:szCs w:val="21"/>
        </w:rPr>
        <w:t>Chinese Academy of Science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或其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9"/>
          <w:sz w:val="21"/>
          <w:szCs w:val="21"/>
        </w:rPr>
        <w:t>附属机构（药物所科研人员请选择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9"/>
          <w:sz w:val="21"/>
          <w:szCs w:val="21"/>
        </w:rPr>
        <w:t>Shanghai Institute of Materia Medica, Chinese Academy of Sciences</w:t>
      </w:r>
      <w:r>
        <w:rPr>
          <w:rStyle w:val="any"/>
          <w:rFonts w:ascii="PMingLiU" w:eastAsia="PMingLiU" w:hAnsi="PMingLiU" w:cs="PMingLiU"/>
          <w:color w:val="AB1942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，才能享受开放获取出版费用折扣。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" w:line="240" w:lineRule="atLeast"/>
        <w:ind w:left="375" w:right="375" w:firstLine="0"/>
        <w:jc w:val="both"/>
        <w:rPr>
          <w:rStyle w:val="any"/>
          <w:rFonts w:ascii="Times New Roman" w:eastAsia="Times New Roman" w:hAnsi="Times New Roman" w:cs="Times New Roman"/>
          <w:color w:val="115C36"/>
          <w:spacing w:val="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15C36"/>
          <w:spacing w:val="0"/>
          <w:sz w:val="21"/>
          <w:szCs w:val="21"/>
        </w:rPr>
        <w:t xml:space="preserve">7. </w:t>
      </w:r>
      <w:r>
        <w:rPr>
          <w:rStyle w:val="any"/>
          <w:rFonts w:ascii="PMingLiU" w:eastAsia="PMingLiU" w:hAnsi="PMingLiU" w:cs="PMingLiU"/>
          <w:b/>
          <w:bCs/>
          <w:color w:val="115C36"/>
          <w:spacing w:val="0"/>
          <w:sz w:val="21"/>
          <w:szCs w:val="21"/>
        </w:rPr>
        <w:t>不包含的折扣部分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225" w:line="384" w:lineRule="atLeast"/>
        <w:ind w:left="525" w:right="525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AB1942"/>
          <w:spacing w:val="9"/>
          <w:sz w:val="21"/>
          <w:szCs w:val="21"/>
        </w:rPr>
        <w:t>折扣部分不包括彩图费等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9"/>
          <w:sz w:val="21"/>
          <w:szCs w:val="21"/>
        </w:rPr>
        <w:t>APC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9"/>
          <w:sz w:val="21"/>
          <w:szCs w:val="21"/>
        </w:rPr>
        <w:t>以外的费用，彩图费等非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9"/>
          <w:sz w:val="21"/>
          <w:szCs w:val="21"/>
        </w:rPr>
        <w:t>APC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9"/>
          <w:sz w:val="21"/>
          <w:szCs w:val="21"/>
        </w:rPr>
        <w:t>费用仍需作者承担。</w:t>
      </w:r>
    </w:p>
    <w:p>
      <w:pPr>
        <w:spacing w:before="0" w:after="360" w:line="36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此次合作是爱思唯尔在中国大陆的首份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OA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合作协议，此前其仅与中国香港地区高校图书馆联盟（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JULAC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）有过类似合作。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FFBC63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BC63"/>
          <w:spacing w:val="22"/>
        </w:rPr>
        <w:t>END</w:t>
      </w:r>
    </w:p>
    <w:p>
      <w:pPr>
        <w:spacing w:before="150" w:after="150" w:line="384" w:lineRule="atLeast"/>
        <w:ind w:left="300" w:right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43318" cy="20005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31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15&amp;idx=1&amp;sn=b4f543661b405f2c9b54c8f628b05136&amp;chksm=c01e78b780507b248a3d976f2be23e99a956ae51c39eabcbcbe715cf59299ddde921d71883c7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