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7266"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87083"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amp;chksm=c55e80015015e097a3e502f4731c9cbba8d7ae563877bfcc2b5fcb6889798cbc052bcabbf4a3&amp;scene=126&amp;sessionid=17419728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