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多项国家基金资助，同济大学附属第十人民医院骨科李国东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Oncology Research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00:05:38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6c</w:t>
      </w:r>
      <w:r>
        <w:rPr>
          <w:rStyle w:val="any"/>
          <w:rFonts w:ascii="PMingLiU" w:eastAsia="PMingLiU" w:hAnsi="PMingLiU" w:cs="PMingLiU"/>
          <w:spacing w:val="8"/>
        </w:rPr>
        <w:t>。两个面板重叠，不太可能代表不同的细胞系。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621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8007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上图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4G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USP44 suppresses proliferation and enhances apoptosis in colorectal cancer cells by inactivating the Wnt/β‐catenin pathway via Axin1 deubiquitination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Huang et al 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972050" cy="3867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2663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两篇论文的作者能否对重复的小组发表评论？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The tumor suppressive roles of ARHGAP25 in lung cancer cells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Xu et al 2019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4H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1813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760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Moderator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[Moderator: comment by Amphiprion pascificus that was incorrectly rejected.]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来自另一篇文章、不同作者、不同机构的重复图像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14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3829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https://www.techscience.com/or/v28n4/48523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67325" cy="22574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7298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国东，男，医学博士，农工民主党员。现任同济大学附属第十人民医院骨科主任医师，教授。同济大学、南京医科大学博士生导师。研究方向：关节与运动医学；骨肿瘤。擅长纠正各种骨关节畸形和各种疑难关节疾病的外科诊断和治疗。近五年来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承担包括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项国家自然基金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上海市科委启明星项目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教育部博士点基金等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</w:t>
      </w:r>
      <w:r>
        <w:rPr>
          <w:rStyle w:val="any"/>
          <w:rFonts w:ascii="PMingLiU" w:eastAsia="PMingLiU" w:hAnsi="PMingLiU" w:cs="PMingLiU"/>
          <w:spacing w:val="8"/>
        </w:rPr>
        <w:t>项省部级科研课题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累计资助基金逾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300</w:t>
      </w:r>
      <w:r>
        <w:rPr>
          <w:rStyle w:val="any"/>
          <w:rFonts w:ascii="PMingLiU" w:eastAsia="PMingLiU" w:hAnsi="PMingLiU" w:cs="PMingLiU"/>
          <w:spacing w:val="8"/>
        </w:rPr>
        <w:t>万元。近年来获得了上海市第十六届卫生系统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银蛇奖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三等奖、上海市教委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曙光学者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、上海市青基会首届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沪上名医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、上海市科委启明星人才奖、上海市中华医学科技一等奖、上海市医学科技一等奖、上海市科学技术进步二等奖（两次）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教育部科技进步二等奖等多项奖项。累计发表中英文专业期刊文章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余篇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(SCI 28</w:t>
      </w:r>
      <w:r>
        <w:rPr>
          <w:rStyle w:val="any"/>
          <w:rFonts w:ascii="PMingLiU" w:eastAsia="PMingLiU" w:hAnsi="PMingLiU" w:cs="PMingLiU"/>
          <w:spacing w:val="8"/>
        </w:rPr>
        <w:t>篇，累计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</w:t>
      </w:r>
      <w:r>
        <w:rPr>
          <w:rStyle w:val="any"/>
          <w:rFonts w:ascii="PMingLiU" w:eastAsia="PMingLiU" w:hAnsi="PMingLiU" w:cs="PMingLiU"/>
          <w:spacing w:val="8"/>
        </w:rPr>
        <w:t>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90</w:t>
      </w:r>
      <w:r>
        <w:rPr>
          <w:rStyle w:val="any"/>
          <w:rFonts w:ascii="PMingLiU" w:eastAsia="PMingLiU" w:hAnsi="PMingLiU" w:cs="PMingLiU"/>
          <w:spacing w:val="8"/>
        </w:rPr>
        <w:t>分，单篇最高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 5.17*4</w:t>
      </w:r>
      <w:r>
        <w:rPr>
          <w:rStyle w:val="any"/>
          <w:rFonts w:ascii="PMingLiU" w:eastAsia="PMingLiU" w:hAnsi="PMingLiU" w:cs="PMingLiU"/>
          <w:spacing w:val="8"/>
        </w:rPr>
        <w:t>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。先后申请并获得了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项专利，其中发明专利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项（一种微创全膝关节置换术中的间隙撑开器），实用新型专利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项。参与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部骨科专著的编译工作。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年至今承担同济大学医学院、南京医科大学、安徽医科大学、徐州医科大学、南通大学医学院等多所院校本科生、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年制研究生、贯通班研究生相关理论教学任务，受到师生的一致好评，获得同济大学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师德师风优秀教师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、附属十院年度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优秀研究生导师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等荣誉称号，目前共培养博士研究生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名，硕士研究生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16</w:t>
      </w:r>
      <w:r>
        <w:rPr>
          <w:rStyle w:val="any"/>
          <w:rFonts w:ascii="PMingLiU" w:eastAsia="PMingLiU" w:hAnsi="PMingLiU" w:cs="PMingLiU"/>
          <w:spacing w:val="8"/>
        </w:rPr>
        <w:t>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https://pubpeer.com/publications/6222C5F049AEC5E5D152AB56766206#5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777&amp;idx=4&amp;sn=bafaa515d161e081dbb42f24054917b8&amp;chksm=c3534e8aa1d7195703f872ac96da6eb3a7d78d332c354714bbb6de68684396d053c7bc7783b1&amp;scene=126&amp;sessionid=17419727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