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强烈关注！中南大学湘雅医院二级教授肖志强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 Therapeutics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 Therapeutics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Nov;14(11):2653-64.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10.1158/1535-7163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中，克隆存活试验的数据已被复制。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中显示的生存曲线也与同一组的另一篇出版物非常相似（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JQ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600575" cy="3143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19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638675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1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Axonopus capillaris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69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Axonopus capillaris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8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Axonopus capillaris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9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https://pubmed.ncbi.nlm.nih.gov/26304234/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19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https://pubpeer.com/publications/479E0DBE8E605AFB6B8CC0298917FE#4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644&amp;idx=2&amp;sn=5e0569dbae5f2b048bc0b9fec69cd30f&amp;chksm=c3a500307a1a8caefb844e9cf8f0099c128f0e80429b9554da990137a6c7b5b1b8faa6503e5a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