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深圳大学知名附属医院论文图片重复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2025-03-09 08:19:16</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FA5359"/>
          <w:spacing w:val="8"/>
          <w:sz w:val="18"/>
          <w:szCs w:val="18"/>
        </w:rPr>
        <w:t>miR-361-5p inhibits glioma migration and invasion by targeting SND1</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OncoTargets and Therapy</w:t>
      </w:r>
      <w:r>
        <w:rPr>
          <w:rStyle w:val="any"/>
          <w:rFonts w:ascii="Times New Roman" w:eastAsia="Times New Roman" w:hAnsi="Times New Roman" w:cs="Times New Roman"/>
          <w:b/>
          <w:bCs/>
          <w:color w:val="515A6E"/>
          <w:spacing w:val="8"/>
          <w:sz w:val="18"/>
          <w:szCs w:val="18"/>
        </w:rPr>
        <w:t> (2018)</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30214229</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10.2147/ott.s171539</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Jing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Jie Yang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Yu</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Chun Rao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Qian Wang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Cuiyun Sun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Cuijuan Shi</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Dan Hua</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Xuexia Zhou</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Wenjun Luo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Run Wang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Weiping Li</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Shizhu Yu</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Neurosurgery and Shenzhen Key Laboratory of Neurosurgery, The First Affiliated Hospital of Shenzhen University, Shenzhen Second People's Hospital, Shenzhen University School of Medicine, Shenzhen 518035, People's Republic of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Neuropathology, Tianjin Neurological Institute, Tianjin Medical University General Hospital, Tianjin 300052, People's Republic of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Biochemistry and Molecular Biology, School of Basic Medical Sciences of Tianjin Medical University, Tianjin 300070, People's Republic of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4</w:t>
      </w:r>
      <w:r>
        <w:rPr>
          <w:rStyle w:val="any"/>
          <w:rFonts w:ascii="Times New Roman" w:eastAsia="Times New Roman" w:hAnsi="Times New Roman" w:cs="Times New Roman"/>
          <w:color w:val="515A6E"/>
          <w:spacing w:val="8"/>
          <w:sz w:val="18"/>
          <w:szCs w:val="18"/>
        </w:rPr>
        <w:t>Department of Neuropathology, Key Laboratory of Post-Trauma Neuro-Repair and Regeneration in Central Nervous System, Ministry of Education, Tianjin 300052, People's Republic of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5</w:t>
      </w:r>
      <w:r>
        <w:rPr>
          <w:rStyle w:val="any"/>
          <w:rFonts w:ascii="Times New Roman" w:eastAsia="Times New Roman" w:hAnsi="Times New Roman" w:cs="Times New Roman"/>
          <w:color w:val="515A6E"/>
          <w:spacing w:val="8"/>
          <w:sz w:val="18"/>
          <w:szCs w:val="18"/>
        </w:rPr>
        <w:t>Department of Neuropathology, Tianjin Key Laboratory of Injuries, Variations and Regeneration of the Nervous System, Tianjin 300052, People's Republic of China,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Sholto David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18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Figure 4 and Figure 7</w:t>
      </w:r>
      <w:r>
        <w:rPr>
          <w:rStyle w:val="any"/>
          <w:rFonts w:ascii="Times New Roman" w:eastAsia="Times New Roman" w:hAnsi="Times New Roman" w:cs="Times New Roman"/>
          <w:spacing w:val="8"/>
          <w:sz w:val="18"/>
          <w:szCs w:val="18"/>
        </w:rPr>
        <w:t>: Unexpected duplicated images. At least one image was previously published in an </w:t>
      </w:r>
      <w:r>
        <w:rPr>
          <w:rStyle w:val="any"/>
          <w:rFonts w:ascii="Times New Roman" w:eastAsia="Times New Roman" w:hAnsi="Times New Roman" w:cs="Times New Roman"/>
          <w:spacing w:val="8"/>
          <w:sz w:val="18"/>
          <w:szCs w:val="18"/>
        </w:rPr>
        <w:t>Oncotarget paper</w:t>
      </w:r>
      <w:r>
        <w:rPr>
          <w:rStyle w:val="any"/>
          <w:rFonts w:ascii="Times New Roman" w:eastAsia="Times New Roman" w:hAnsi="Times New Roman" w:cs="Times New Roman"/>
          <w:spacing w:val="8"/>
          <w:sz w:val="18"/>
          <w:szCs w:val="18"/>
        </w:rPr>
        <w:t> with a contradictory label. Would the authors please check and comment?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0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39094" name=""/>
                    <pic:cNvPicPr>
                      <a:picLocks noChangeAspect="1"/>
                    </pic:cNvPicPr>
                  </pic:nvPicPr>
                  <pic:blipFill>
                    <a:blip xmlns:r="http://schemas.openxmlformats.org/officeDocument/2006/relationships" r:embed="rId6"/>
                    <a:stretch>
                      <a:fillRect/>
                    </a:stretch>
                  </pic:blipFill>
                  <pic:spPr>
                    <a:xfrm>
                      <a:off x="0" y="0"/>
                      <a:ext cx="5486400" cy="3810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128&amp;idx=2&amp;sn=5ce5441ff4e0d3f4073d4e0f6d2a192d&amp;chksm=ce5352423e92614113af84523245f1bc23ac510128bf36c2380ece0eb3dbaddc0da624d56dca&amp;scene=126&amp;sessionid=1741972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