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吉林大学中日联合医院胃肠结直肠肛门外科</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论文图片雷同撤回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2025-03-14 18:52:01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149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90964"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吉林大学中日联合医院胃肠结直肠肛门外科</w:t>
            </w:r>
            <w:r>
              <w:rPr>
                <w:rStyle w:val="any"/>
                <w:b/>
                <w:bCs/>
                <w:i w:val="0"/>
                <w:iCs w:val="0"/>
                <w:caps w:val="0"/>
                <w:smallCaps w:val="0"/>
                <w:color w:val="000000"/>
                <w:spacing w:val="8"/>
                <w:sz w:val="28"/>
                <w:szCs w:val="28"/>
              </w:rPr>
              <w:t>Oncotarget</w:t>
            </w:r>
            <w:r>
              <w:rPr>
                <w:rStyle w:val="any"/>
                <w:rFonts w:ascii="宋体" w:eastAsia="宋体" w:hAnsi="宋体" w:cs="宋体"/>
                <w:b/>
                <w:bCs/>
                <w:i w:val="0"/>
                <w:iCs w:val="0"/>
                <w:caps w:val="0"/>
                <w:smallCaps w:val="0"/>
                <w:color w:val="000000"/>
                <w:spacing w:val="8"/>
                <w:sz w:val="28"/>
                <w:szCs w:val="28"/>
              </w:rPr>
              <w:t>论文图片雷同撤回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MicroRNA-216a inhibits the metastasis of gastric cancer cells by targeting JAK2/STAT3-mediated EMT process</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MicroRNA-216a</w:t>
            </w:r>
            <w:r>
              <w:rPr>
                <w:rStyle w:val="any"/>
                <w:rFonts w:ascii="PMingLiU" w:eastAsia="PMingLiU" w:hAnsi="PMingLiU" w:cs="PMingLiU"/>
                <w:b w:val="0"/>
                <w:bCs w:val="0"/>
                <w:i w:val="0"/>
                <w:iCs w:val="0"/>
                <w:caps w:val="0"/>
                <w:smallCaps w:val="0"/>
                <w:color w:val="111111"/>
                <w:spacing w:val="8"/>
                <w:sz w:val="21"/>
                <w:szCs w:val="21"/>
              </w:rPr>
              <w:t>靶向</w:t>
            </w:r>
            <w:r>
              <w:rPr>
                <w:rStyle w:val="any"/>
                <w:b w:val="0"/>
                <w:bCs w:val="0"/>
                <w:i w:val="0"/>
                <w:iCs w:val="0"/>
                <w:caps w:val="0"/>
                <w:smallCaps w:val="0"/>
                <w:color w:val="111111"/>
                <w:spacing w:val="8"/>
                <w:sz w:val="21"/>
                <w:szCs w:val="21"/>
              </w:rPr>
              <w:t>JAK2/STAT3</w:t>
            </w:r>
            <w:r>
              <w:rPr>
                <w:rStyle w:val="any"/>
                <w:rFonts w:ascii="PMingLiU" w:eastAsia="PMingLiU" w:hAnsi="PMingLiU" w:cs="PMingLiU"/>
                <w:b w:val="0"/>
                <w:bCs w:val="0"/>
                <w:i w:val="0"/>
                <w:iCs w:val="0"/>
                <w:caps w:val="0"/>
                <w:smallCaps w:val="0"/>
                <w:color w:val="111111"/>
                <w:spacing w:val="8"/>
                <w:sz w:val="21"/>
                <w:szCs w:val="21"/>
              </w:rPr>
              <w:t>介导的</w:t>
            </w:r>
            <w:r>
              <w:rPr>
                <w:rStyle w:val="any"/>
                <w:b w:val="0"/>
                <w:bCs w:val="0"/>
                <w:i w:val="0"/>
                <w:iCs w:val="0"/>
                <w:caps w:val="0"/>
                <w:smallCaps w:val="0"/>
                <w:color w:val="111111"/>
                <w:spacing w:val="8"/>
                <w:sz w:val="21"/>
                <w:szCs w:val="21"/>
              </w:rPr>
              <w:t>EMT</w:t>
            </w:r>
            <w:r>
              <w:rPr>
                <w:rStyle w:val="any"/>
                <w:rFonts w:ascii="PMingLiU" w:eastAsia="PMingLiU" w:hAnsi="PMingLiU" w:cs="PMingLiU"/>
                <w:b w:val="0"/>
                <w:bCs w:val="0"/>
                <w:i w:val="0"/>
                <w:iCs w:val="0"/>
                <w:caps w:val="0"/>
                <w:smallCaps w:val="0"/>
                <w:color w:val="111111"/>
                <w:spacing w:val="8"/>
                <w:sz w:val="21"/>
                <w:szCs w:val="21"/>
              </w:rPr>
              <w:t>过程抑制癌症细胞转移</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微小</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miRNA</w:t>
            </w:r>
            <w:r>
              <w:rPr>
                <w:rStyle w:val="any"/>
                <w:rFonts w:ascii="PMingLiU" w:eastAsia="PMingLiU" w:hAnsi="PMingLiU" w:cs="PMingLiU"/>
                <w:b w:val="0"/>
                <w:bCs w:val="0"/>
                <w:i w:val="0"/>
                <w:iCs w:val="0"/>
                <w:caps w:val="0"/>
                <w:smallCaps w:val="0"/>
                <w:color w:val="111111"/>
                <w:spacing w:val="8"/>
                <w:sz w:val="21"/>
                <w:szCs w:val="21"/>
              </w:rPr>
              <w:t>）是一组小的、非蛋白质编码的内源性</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，在人类癌症的肿瘤发生和发展中起着关键作用。最近有报道称</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在人类癌症中起致癌作用。然而，</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在癌症（</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）中的表达、其生物学功能和潜在的分子机制在很大程度上是未知的。在这项研究中，我们发现与匹配的非癌组织相比，</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组织中的表达不足。与正常胃上皮细胞系相比，</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细胞系中</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水平降低。</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低表达与恶性预后特征有关，包括淋巴结转移、静脉浸润、浸润深度和晚期</w:t>
            </w:r>
            <w:r>
              <w:rPr>
                <w:rStyle w:val="any"/>
                <w:rFonts w:ascii="Tahoma" w:eastAsia="Tahoma" w:hAnsi="Tahoma" w:cs="Tahoma"/>
                <w:b w:val="0"/>
                <w:bCs w:val="0"/>
                <w:i w:val="0"/>
                <w:iCs w:val="0"/>
                <w:caps w:val="0"/>
                <w:smallCaps w:val="0"/>
                <w:color w:val="111111"/>
                <w:spacing w:val="8"/>
                <w:sz w:val="21"/>
                <w:szCs w:val="21"/>
              </w:rPr>
              <w:t>TNM</w:t>
            </w:r>
            <w:r>
              <w:rPr>
                <w:rStyle w:val="any"/>
                <w:rFonts w:ascii="PMingLiU" w:eastAsia="PMingLiU" w:hAnsi="PMingLiU" w:cs="PMingLiU"/>
                <w:b w:val="0"/>
                <w:bCs w:val="0"/>
                <w:i w:val="0"/>
                <w:iCs w:val="0"/>
                <w:caps w:val="0"/>
                <w:smallCaps w:val="0"/>
                <w:color w:val="111111"/>
                <w:spacing w:val="8"/>
                <w:sz w:val="21"/>
                <w:szCs w:val="21"/>
              </w:rPr>
              <w:t>分期。</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水平低的</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患者的总体生存期明显较短。</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过表达抑制</w:t>
            </w:r>
            <w:r>
              <w:rPr>
                <w:rStyle w:val="any"/>
                <w:rFonts w:ascii="Tahoma" w:eastAsia="Tahoma" w:hAnsi="Tahoma" w:cs="Tahoma"/>
                <w:b w:val="0"/>
                <w:bCs w:val="0"/>
                <w:i w:val="0"/>
                <w:iCs w:val="0"/>
                <w:caps w:val="0"/>
                <w:smallCaps w:val="0"/>
                <w:color w:val="111111"/>
                <w:spacing w:val="8"/>
                <w:sz w:val="21"/>
                <w:szCs w:val="21"/>
              </w:rPr>
              <w:t>MGC-803</w:t>
            </w:r>
            <w:r>
              <w:rPr>
                <w:rStyle w:val="any"/>
                <w:rFonts w:ascii="PMingLiU" w:eastAsia="PMingLiU" w:hAnsi="PMingLiU" w:cs="PMingLiU"/>
                <w:b w:val="0"/>
                <w:bCs w:val="0"/>
                <w:i w:val="0"/>
                <w:iCs w:val="0"/>
                <w:caps w:val="0"/>
                <w:smallCaps w:val="0"/>
                <w:color w:val="111111"/>
                <w:spacing w:val="8"/>
                <w:sz w:val="21"/>
                <w:szCs w:val="21"/>
              </w:rPr>
              <w:t>细胞的迁移和侵袭，而其敲除对</w:t>
            </w:r>
            <w:r>
              <w:rPr>
                <w:rStyle w:val="any"/>
                <w:rFonts w:ascii="Tahoma" w:eastAsia="Tahoma" w:hAnsi="Tahoma" w:cs="Tahoma"/>
                <w:b w:val="0"/>
                <w:bCs w:val="0"/>
                <w:i w:val="0"/>
                <w:iCs w:val="0"/>
                <w:caps w:val="0"/>
                <w:smallCaps w:val="0"/>
                <w:color w:val="111111"/>
                <w:spacing w:val="8"/>
                <w:sz w:val="21"/>
                <w:szCs w:val="21"/>
              </w:rPr>
              <w:t>SGC-7901</w:t>
            </w:r>
            <w:r>
              <w:rPr>
                <w:rStyle w:val="any"/>
                <w:rFonts w:ascii="PMingLiU" w:eastAsia="PMingLiU" w:hAnsi="PMingLiU" w:cs="PMingLiU"/>
                <w:b w:val="0"/>
                <w:bCs w:val="0"/>
                <w:i w:val="0"/>
                <w:iCs w:val="0"/>
                <w:caps w:val="0"/>
                <w:smallCaps w:val="0"/>
                <w:color w:val="111111"/>
                <w:spacing w:val="8"/>
                <w:sz w:val="21"/>
                <w:szCs w:val="21"/>
              </w:rPr>
              <w:t>细胞的转移行为产生相反的影响。体内实验发现，</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的恢复减少了裸鼠肝脏中</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细胞的转移节点。</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显著抑制</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细胞的上皮间质转化（</w:t>
            </w:r>
            <w:r>
              <w:rPr>
                <w:rStyle w:val="any"/>
                <w:rFonts w:ascii="Tahoma" w:eastAsia="Tahoma" w:hAnsi="Tahoma" w:cs="Tahoma"/>
                <w:b w:val="0"/>
                <w:bCs w:val="0"/>
                <w:i w:val="0"/>
                <w:iCs w:val="0"/>
                <w:caps w:val="0"/>
                <w:smallCaps w:val="0"/>
                <w:color w:val="111111"/>
                <w:spacing w:val="8"/>
                <w:sz w:val="21"/>
                <w:szCs w:val="21"/>
              </w:rPr>
              <w:t>EMT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Janus</w:t>
            </w:r>
            <w:r>
              <w:rPr>
                <w:rStyle w:val="any"/>
                <w:rFonts w:ascii="PMingLiU" w:eastAsia="PMingLiU" w:hAnsi="PMingLiU" w:cs="PMingLiU"/>
                <w:b w:val="0"/>
                <w:bCs w:val="0"/>
                <w:i w:val="0"/>
                <w:iCs w:val="0"/>
                <w:caps w:val="0"/>
                <w:smallCaps w:val="0"/>
                <w:color w:val="111111"/>
                <w:spacing w:val="8"/>
                <w:sz w:val="21"/>
                <w:szCs w:val="21"/>
              </w:rPr>
              <w:t>激酶</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JAK2</w:t>
            </w:r>
            <w:r>
              <w:rPr>
                <w:rStyle w:val="any"/>
                <w:rFonts w:ascii="PMingLiU" w:eastAsia="PMingLiU" w:hAnsi="PMingLiU" w:cs="PMingLiU"/>
                <w:b w:val="0"/>
                <w:bCs w:val="0"/>
                <w:i w:val="0"/>
                <w:iCs w:val="0"/>
                <w:caps w:val="0"/>
                <w:smallCaps w:val="0"/>
                <w:color w:val="111111"/>
                <w:spacing w:val="8"/>
                <w:sz w:val="21"/>
                <w:szCs w:val="21"/>
              </w:rPr>
              <w:t>）被认为是</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的直接靶点和下游介质。有趣的是，</w:t>
            </w:r>
            <w:r>
              <w:rPr>
                <w:rStyle w:val="any"/>
                <w:rFonts w:ascii="Tahoma" w:eastAsia="Tahoma" w:hAnsi="Tahoma" w:cs="Tahoma"/>
                <w:b w:val="0"/>
                <w:bCs w:val="0"/>
                <w:i w:val="0"/>
                <w:iCs w:val="0"/>
                <w:caps w:val="0"/>
                <w:smallCaps w:val="0"/>
                <w:color w:val="111111"/>
                <w:spacing w:val="8"/>
                <w:sz w:val="21"/>
                <w:szCs w:val="21"/>
              </w:rPr>
              <w:t>JAK2/</w:t>
            </w:r>
            <w:r>
              <w:rPr>
                <w:rStyle w:val="any"/>
                <w:rFonts w:ascii="PMingLiU" w:eastAsia="PMingLiU" w:hAnsi="PMingLiU" w:cs="PMingLiU"/>
                <w:b w:val="0"/>
                <w:bCs w:val="0"/>
                <w:i w:val="0"/>
                <w:iCs w:val="0"/>
                <w:caps w:val="0"/>
                <w:smallCaps w:val="0"/>
                <w:color w:val="111111"/>
                <w:spacing w:val="8"/>
                <w:sz w:val="21"/>
                <w:szCs w:val="21"/>
              </w:rPr>
              <w:t>信号转导子和转录激活子</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STAT3</w:t>
            </w:r>
            <w:r>
              <w:rPr>
                <w:rStyle w:val="any"/>
                <w:rFonts w:ascii="PMingLiU" w:eastAsia="PMingLiU" w:hAnsi="PMingLiU" w:cs="PMingLiU"/>
                <w:b w:val="0"/>
                <w:bCs w:val="0"/>
                <w:i w:val="0"/>
                <w:iCs w:val="0"/>
                <w:caps w:val="0"/>
                <w:smallCaps w:val="0"/>
                <w:color w:val="111111"/>
                <w:spacing w:val="8"/>
                <w:sz w:val="21"/>
                <w:szCs w:val="21"/>
              </w:rPr>
              <w:t>）通路被</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显著灭活，可能介导了</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细胞迁移、侵袭和</w:t>
            </w:r>
            <w:r>
              <w:rPr>
                <w:rStyle w:val="any"/>
                <w:rFonts w:ascii="Tahoma" w:eastAsia="Tahoma" w:hAnsi="Tahoma" w:cs="Tahoma"/>
                <w:b w:val="0"/>
                <w:bCs w:val="0"/>
                <w:i w:val="0"/>
                <w:iCs w:val="0"/>
                <w:caps w:val="0"/>
                <w:smallCaps w:val="0"/>
                <w:color w:val="111111"/>
                <w:spacing w:val="8"/>
                <w:sz w:val="21"/>
                <w:szCs w:val="21"/>
              </w:rPr>
              <w:t>EMT</w:t>
            </w:r>
            <w:r>
              <w:rPr>
                <w:rStyle w:val="any"/>
                <w:rFonts w:ascii="PMingLiU" w:eastAsia="PMingLiU" w:hAnsi="PMingLiU" w:cs="PMingLiU"/>
                <w:b w:val="0"/>
                <w:bCs w:val="0"/>
                <w:i w:val="0"/>
                <w:iCs w:val="0"/>
                <w:caps w:val="0"/>
                <w:smallCaps w:val="0"/>
                <w:color w:val="111111"/>
                <w:spacing w:val="8"/>
                <w:sz w:val="21"/>
                <w:szCs w:val="21"/>
              </w:rPr>
              <w:t>过程中的作用。总之，这些数据表明</w:t>
            </w:r>
            <w:r>
              <w:rPr>
                <w:rStyle w:val="any"/>
                <w:rFonts w:ascii="Tahoma" w:eastAsia="Tahoma" w:hAnsi="Tahoma" w:cs="Tahoma"/>
                <w:b w:val="0"/>
                <w:bCs w:val="0"/>
                <w:i w:val="0"/>
                <w:iCs w:val="0"/>
                <w:caps w:val="0"/>
                <w:smallCaps w:val="0"/>
                <w:color w:val="111111"/>
                <w:spacing w:val="8"/>
                <w:sz w:val="21"/>
                <w:szCs w:val="21"/>
              </w:rPr>
              <w:t>miR-216a</w:t>
            </w:r>
            <w:r>
              <w:rPr>
                <w:rStyle w:val="any"/>
                <w:rFonts w:ascii="PMingLiU" w:eastAsia="PMingLiU" w:hAnsi="PMingLiU" w:cs="PMingLiU"/>
                <w:b w:val="0"/>
                <w:bCs w:val="0"/>
                <w:i w:val="0"/>
                <w:iCs w:val="0"/>
                <w:caps w:val="0"/>
                <w:smallCaps w:val="0"/>
                <w:color w:val="111111"/>
                <w:spacing w:val="8"/>
                <w:sz w:val="21"/>
                <w:szCs w:val="21"/>
              </w:rPr>
              <w:t>可能通过靶向</w:t>
            </w:r>
            <w:r>
              <w:rPr>
                <w:rStyle w:val="any"/>
                <w:rFonts w:ascii="Tahoma" w:eastAsia="Tahoma" w:hAnsi="Tahoma" w:cs="Tahoma"/>
                <w:b w:val="0"/>
                <w:bCs w:val="0"/>
                <w:i w:val="0"/>
                <w:iCs w:val="0"/>
                <w:caps w:val="0"/>
                <w:smallCaps w:val="0"/>
                <w:color w:val="111111"/>
                <w:spacing w:val="8"/>
                <w:sz w:val="21"/>
                <w:szCs w:val="21"/>
              </w:rPr>
              <w:t>JAK2/STAT3</w:t>
            </w:r>
            <w:r>
              <w:rPr>
                <w:rStyle w:val="any"/>
                <w:rFonts w:ascii="PMingLiU" w:eastAsia="PMingLiU" w:hAnsi="PMingLiU" w:cs="PMingLiU"/>
                <w:b w:val="0"/>
                <w:bCs w:val="0"/>
                <w:i w:val="0"/>
                <w:iCs w:val="0"/>
                <w:caps w:val="0"/>
                <w:smallCaps w:val="0"/>
                <w:color w:val="111111"/>
                <w:spacing w:val="8"/>
                <w:sz w:val="21"/>
                <w:szCs w:val="21"/>
              </w:rPr>
              <w:t>介导的</w:t>
            </w:r>
            <w:r>
              <w:rPr>
                <w:rStyle w:val="any"/>
                <w:rFonts w:ascii="Tahoma" w:eastAsia="Tahoma" w:hAnsi="Tahoma" w:cs="Tahoma"/>
                <w:b w:val="0"/>
                <w:bCs w:val="0"/>
                <w:i w:val="0"/>
                <w:iCs w:val="0"/>
                <w:caps w:val="0"/>
                <w:smallCaps w:val="0"/>
                <w:color w:val="111111"/>
                <w:spacing w:val="8"/>
                <w:sz w:val="21"/>
                <w:szCs w:val="21"/>
              </w:rPr>
              <w:t>EMT</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GC</w:t>
            </w:r>
            <w:r>
              <w:rPr>
                <w:rStyle w:val="any"/>
                <w:rFonts w:ascii="PMingLiU" w:eastAsia="PMingLiU" w:hAnsi="PMingLiU" w:cs="PMingLiU"/>
                <w:b w:val="0"/>
                <w:bCs w:val="0"/>
                <w:i w:val="0"/>
                <w:iCs w:val="0"/>
                <w:caps w:val="0"/>
                <w:smallCaps w:val="0"/>
                <w:color w:val="111111"/>
                <w:spacing w:val="8"/>
                <w:sz w:val="21"/>
                <w:szCs w:val="21"/>
              </w:rPr>
              <w:t>的发展中起到肿瘤抑制</w:t>
            </w:r>
            <w:r>
              <w:rPr>
                <w:rStyle w:val="any"/>
                <w:rFonts w:ascii="Tahoma" w:eastAsia="Tahoma" w:hAnsi="Tahoma" w:cs="Tahoma"/>
                <w:b w:val="0"/>
                <w:bCs w:val="0"/>
                <w:i w:val="0"/>
                <w:iCs w:val="0"/>
                <w:caps w:val="0"/>
                <w:smallCaps w:val="0"/>
                <w:color w:val="111111"/>
                <w:spacing w:val="8"/>
                <w:sz w:val="21"/>
                <w:szCs w:val="21"/>
              </w:rPr>
              <w:t>miRNA</w:t>
            </w:r>
            <w:r>
              <w:rPr>
                <w:rStyle w:val="any"/>
                <w:rFonts w:ascii="PMingLiU" w:eastAsia="PMingLiU" w:hAnsi="PMingLiU" w:cs="PMingLiU"/>
                <w:b w:val="0"/>
                <w:bCs w:val="0"/>
                <w:i w:val="0"/>
                <w:iCs w:val="0"/>
                <w:caps w:val="0"/>
                <w:smallCaps w:val="0"/>
                <w:color w:val="111111"/>
                <w:spacing w:val="8"/>
                <w:sz w:val="21"/>
                <w:szCs w:val="21"/>
              </w:rPr>
              <w:t>的作用。</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吉林大学中日联合医院胃肠结直肠肛门外科，吉林省长春市</w:t>
            </w:r>
            <w:r>
              <w:rPr>
                <w:rStyle w:val="any"/>
                <w:b w:val="0"/>
                <w:bCs w:val="0"/>
                <w:i w:val="0"/>
                <w:iCs w:val="0"/>
                <w:caps w:val="0"/>
                <w:smallCaps w:val="0"/>
                <w:color w:val="111111"/>
                <w:spacing w:val="8"/>
                <w:sz w:val="21"/>
                <w:szCs w:val="21"/>
              </w:rPr>
              <w:t>130033</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吉林大学中日联合医院血管外科，吉林省长春市，邮编</w:t>
            </w:r>
            <w:r>
              <w:rPr>
                <w:rStyle w:val="any"/>
                <w:b w:val="0"/>
                <w:bCs w:val="0"/>
                <w:i w:val="0"/>
                <w:iCs w:val="0"/>
                <w:caps w:val="0"/>
                <w:smallCaps w:val="0"/>
                <w:color w:val="111111"/>
                <w:spacing w:val="8"/>
                <w:sz w:val="21"/>
                <w:szCs w:val="21"/>
              </w:rPr>
              <w:t>130033</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Oncotarget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1"/>
                <w:szCs w:val="21"/>
                <w:vertAlign w:val="baseline"/>
              </w:rPr>
              <w:t>图片雷同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Oncotarget</w:t>
            </w:r>
            <w:r>
              <w:rPr>
                <w:rStyle w:val="any"/>
                <w:rFonts w:ascii="PMingLiU" w:eastAsia="PMingLiU" w:hAnsi="PMingLiU" w:cs="PMingLiU"/>
                <w:b w:val="0"/>
                <w:bCs w:val="0"/>
                <w:i w:val="0"/>
                <w:iCs w:val="0"/>
                <w:caps w:val="0"/>
                <w:smallCaps w:val="0"/>
                <w:color w:val="111111"/>
                <w:spacing w:val="8"/>
                <w:sz w:val="21"/>
                <w:szCs w:val="21"/>
              </w:rPr>
              <w:t>已经完成了对这篇论文的调查，在调查中证实了几幅图形图像是从之前发表的论文中复制的。特别是，图</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（图</w:t>
            </w:r>
            <w:r>
              <w:rPr>
                <w:rStyle w:val="any"/>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和</w:t>
            </w:r>
            <w:r>
              <w:rPr>
                <w:rStyle w:val="any"/>
                <w:b w:val="0"/>
                <w:bCs w:val="0"/>
                <w:i w:val="0"/>
                <w:iCs w:val="0"/>
                <w:caps w:val="0"/>
                <w:smallCaps w:val="0"/>
                <w:color w:val="111111"/>
                <w:spacing w:val="8"/>
                <w:sz w:val="21"/>
                <w:szCs w:val="21"/>
              </w:rPr>
              <w:t>E</w:t>
            </w:r>
            <w:r>
              <w:rPr>
                <w:rStyle w:val="any"/>
                <w:rFonts w:ascii="PMingLiU" w:eastAsia="PMingLiU" w:hAnsi="PMingLiU" w:cs="PMingLiU"/>
                <w:b w:val="0"/>
                <w:bCs w:val="0"/>
                <w:i w:val="0"/>
                <w:iCs w:val="0"/>
                <w:caps w:val="0"/>
                <w:smallCaps w:val="0"/>
                <w:color w:val="111111"/>
                <w:spacing w:val="8"/>
                <w:sz w:val="21"/>
                <w:szCs w:val="21"/>
              </w:rPr>
              <w:t>）以及图</w:t>
            </w:r>
            <w:r>
              <w:rPr>
                <w:rStyle w:val="any"/>
                <w:b w:val="0"/>
                <w:bCs w:val="0"/>
                <w:i w:val="0"/>
                <w:iCs w:val="0"/>
                <w:caps w:val="0"/>
                <w:smallCaps w:val="0"/>
                <w:color w:val="111111"/>
                <w:spacing w:val="8"/>
                <w:sz w:val="21"/>
                <w:szCs w:val="21"/>
              </w:rPr>
              <w:t>7B</w:t>
            </w:r>
            <w:r>
              <w:rPr>
                <w:rStyle w:val="any"/>
                <w:rFonts w:ascii="PMingLiU" w:eastAsia="PMingLiU" w:hAnsi="PMingLiU" w:cs="PMingLiU"/>
                <w:b w:val="0"/>
                <w:bCs w:val="0"/>
                <w:i w:val="0"/>
                <w:iCs w:val="0"/>
                <w:caps w:val="0"/>
                <w:smallCaps w:val="0"/>
                <w:color w:val="111111"/>
                <w:spacing w:val="8"/>
                <w:sz w:val="21"/>
                <w:szCs w:val="21"/>
              </w:rPr>
              <w:t>和</w:t>
            </w:r>
            <w:r>
              <w:rPr>
                <w:rStyle w:val="any"/>
                <w:b w:val="0"/>
                <w:bCs w:val="0"/>
                <w:i w:val="0"/>
                <w:iCs w:val="0"/>
                <w:caps w:val="0"/>
                <w:smallCaps w:val="0"/>
                <w:color w:val="111111"/>
                <w:spacing w:val="8"/>
                <w:sz w:val="21"/>
                <w:szCs w:val="21"/>
              </w:rPr>
              <w:t>8B</w:t>
            </w:r>
            <w:r>
              <w:rPr>
                <w:rStyle w:val="any"/>
                <w:rFonts w:ascii="PMingLiU" w:eastAsia="PMingLiU" w:hAnsi="PMingLiU" w:cs="PMingLiU"/>
                <w:b w:val="0"/>
                <w:bCs w:val="0"/>
                <w:i w:val="0"/>
                <w:iCs w:val="0"/>
                <w:caps w:val="0"/>
                <w:smallCaps w:val="0"/>
                <w:color w:val="111111"/>
                <w:spacing w:val="8"/>
                <w:sz w:val="21"/>
                <w:szCs w:val="21"/>
              </w:rPr>
              <w:t>中的伤口愈合测定图像是四篇不同早期论文</w:t>
            </w:r>
            <w:r>
              <w:rPr>
                <w:rStyle w:val="any"/>
                <w:b w:val="0"/>
                <w:bCs w:val="0"/>
                <w:i w:val="0"/>
                <w:iCs w:val="0"/>
                <w:caps w:val="0"/>
                <w:smallCaps w:val="0"/>
                <w:color w:val="111111"/>
                <w:spacing w:val="8"/>
                <w:sz w:val="21"/>
                <w:szCs w:val="21"/>
              </w:rPr>
              <w:t>[1-4]</w:t>
            </w:r>
            <w:r>
              <w:rPr>
                <w:rStyle w:val="any"/>
                <w:rFonts w:ascii="PMingLiU" w:eastAsia="PMingLiU" w:hAnsi="PMingLiU" w:cs="PMingLiU"/>
                <w:b w:val="0"/>
                <w:bCs w:val="0"/>
                <w:i w:val="0"/>
                <w:iCs w:val="0"/>
                <w:caps w:val="0"/>
                <w:smallCaps w:val="0"/>
                <w:color w:val="111111"/>
                <w:spacing w:val="8"/>
                <w:sz w:val="21"/>
                <w:szCs w:val="21"/>
              </w:rPr>
              <w:t>的伤口愈合试验图像的副本。图</w:t>
            </w:r>
            <w:r>
              <w:rPr>
                <w:rStyle w:val="any"/>
                <w:b w:val="0"/>
                <w:bCs w:val="0"/>
                <w:i w:val="0"/>
                <w:iCs w:val="0"/>
                <w:caps w:val="0"/>
                <w:smallCaps w:val="0"/>
                <w:color w:val="111111"/>
                <w:spacing w:val="8"/>
                <w:sz w:val="21"/>
                <w:szCs w:val="21"/>
              </w:rPr>
              <w:t>2 C</w:t>
            </w:r>
            <w:r>
              <w:rPr>
                <w:rStyle w:val="any"/>
                <w:rFonts w:ascii="PMingLiU" w:eastAsia="PMingLiU" w:hAnsi="PMingLiU" w:cs="PMingLiU"/>
                <w:b w:val="0"/>
                <w:bCs w:val="0"/>
                <w:i w:val="0"/>
                <w:iCs w:val="0"/>
                <w:caps w:val="0"/>
                <w:smallCaps w:val="0"/>
                <w:color w:val="111111"/>
                <w:spacing w:val="8"/>
                <w:sz w:val="21"/>
                <w:szCs w:val="21"/>
              </w:rPr>
              <w:t>和</w:t>
            </w:r>
            <w:r>
              <w:rPr>
                <w:rStyle w:val="any"/>
                <w:b w:val="0"/>
                <w:bCs w:val="0"/>
                <w:i w:val="0"/>
                <w:iCs w:val="0"/>
                <w:caps w:val="0"/>
                <w:smallCaps w:val="0"/>
                <w:color w:val="111111"/>
                <w:spacing w:val="8"/>
                <w:sz w:val="21"/>
                <w:szCs w:val="21"/>
              </w:rPr>
              <w:t>F</w:t>
            </w:r>
            <w:r>
              <w:rPr>
                <w:rStyle w:val="any"/>
                <w:rFonts w:ascii="PMingLiU" w:eastAsia="PMingLiU" w:hAnsi="PMingLiU" w:cs="PMingLiU"/>
                <w:b w:val="0"/>
                <w:bCs w:val="0"/>
                <w:i w:val="0"/>
                <w:iCs w:val="0"/>
                <w:caps w:val="0"/>
                <w:smallCaps w:val="0"/>
                <w:color w:val="111111"/>
                <w:spacing w:val="8"/>
                <w:sz w:val="21"/>
                <w:szCs w:val="21"/>
              </w:rPr>
              <w:t>以及图</w:t>
            </w:r>
            <w:r>
              <w:rPr>
                <w:rStyle w:val="any"/>
                <w:b w:val="0"/>
                <w:bCs w:val="0"/>
                <w:i w:val="0"/>
                <w:iCs w:val="0"/>
                <w:caps w:val="0"/>
                <w:smallCaps w:val="0"/>
                <w:color w:val="111111"/>
                <w:spacing w:val="8"/>
                <w:sz w:val="21"/>
                <w:szCs w:val="21"/>
              </w:rPr>
              <w:t>7C</w:t>
            </w:r>
            <w:r>
              <w:rPr>
                <w:rStyle w:val="any"/>
                <w:rFonts w:ascii="PMingLiU" w:eastAsia="PMingLiU" w:hAnsi="PMingLiU" w:cs="PMingLiU"/>
                <w:b w:val="0"/>
                <w:bCs w:val="0"/>
                <w:i w:val="0"/>
                <w:iCs w:val="0"/>
                <w:caps w:val="0"/>
                <w:smallCaps w:val="0"/>
                <w:color w:val="111111"/>
                <w:spacing w:val="8"/>
                <w:sz w:val="21"/>
                <w:szCs w:val="21"/>
              </w:rPr>
              <w:t>和</w:t>
            </w:r>
            <w:r>
              <w:rPr>
                <w:rStyle w:val="any"/>
                <w:b w:val="0"/>
                <w:bCs w:val="0"/>
                <w:i w:val="0"/>
                <w:iCs w:val="0"/>
                <w:caps w:val="0"/>
                <w:smallCaps w:val="0"/>
                <w:color w:val="111111"/>
                <w:spacing w:val="8"/>
                <w:sz w:val="21"/>
                <w:szCs w:val="21"/>
              </w:rPr>
              <w:t>8C</w:t>
            </w:r>
            <w:r>
              <w:rPr>
                <w:rStyle w:val="any"/>
                <w:rFonts w:ascii="PMingLiU" w:eastAsia="PMingLiU" w:hAnsi="PMingLiU" w:cs="PMingLiU"/>
                <w:b w:val="0"/>
                <w:bCs w:val="0"/>
                <w:i w:val="0"/>
                <w:iCs w:val="0"/>
                <w:caps w:val="0"/>
                <w:smallCaps w:val="0"/>
                <w:color w:val="111111"/>
                <w:spacing w:val="8"/>
                <w:sz w:val="21"/>
                <w:szCs w:val="21"/>
              </w:rPr>
              <w:t>中的</w:t>
            </w:r>
            <w:r>
              <w:rPr>
                <w:rStyle w:val="any"/>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检测图像被发现与另一篇已被撤回的早期文章中的</w:t>
            </w:r>
            <w:r>
              <w:rPr>
                <w:rStyle w:val="any"/>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检测图像重复</w:t>
            </w:r>
            <w:r>
              <w:rPr>
                <w:rStyle w:val="any"/>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。图</w:t>
            </w:r>
            <w:r>
              <w:rPr>
                <w:rStyle w:val="any"/>
                <w:b w:val="0"/>
                <w:bCs w:val="0"/>
                <w:i w:val="0"/>
                <w:iCs w:val="0"/>
                <w:caps w:val="0"/>
                <w:smallCaps w:val="0"/>
                <w:color w:val="111111"/>
                <w:spacing w:val="8"/>
                <w:sz w:val="21"/>
                <w:szCs w:val="21"/>
              </w:rPr>
              <w:t>4A</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和</w:t>
            </w:r>
            <w:r>
              <w:rPr>
                <w:rStyle w:val="any"/>
                <w:b w:val="0"/>
                <w:bCs w:val="0"/>
                <w:i w:val="0"/>
                <w:iCs w:val="0"/>
                <w:caps w:val="0"/>
                <w:smallCaps w:val="0"/>
                <w:color w:val="111111"/>
                <w:spacing w:val="8"/>
                <w:sz w:val="21"/>
                <w:szCs w:val="21"/>
              </w:rPr>
              <w:t>7A</w:t>
            </w:r>
            <w:r>
              <w:rPr>
                <w:rStyle w:val="any"/>
                <w:rFonts w:ascii="PMingLiU" w:eastAsia="PMingLiU" w:hAnsi="PMingLiU" w:cs="PMingLiU"/>
                <w:b w:val="0"/>
                <w:bCs w:val="0"/>
                <w:i w:val="0"/>
                <w:iCs w:val="0"/>
                <w:caps w:val="0"/>
                <w:smallCaps w:val="0"/>
                <w:color w:val="111111"/>
                <w:spacing w:val="8"/>
                <w:sz w:val="21"/>
                <w:szCs w:val="21"/>
              </w:rPr>
              <w:t>复制了许多来自无关论文的蛋白质印迹图像</w:t>
            </w:r>
            <w:r>
              <w:rPr>
                <w:rStyle w:val="any"/>
                <w:b w:val="0"/>
                <w:bCs w:val="0"/>
                <w:i w:val="0"/>
                <w:iCs w:val="0"/>
                <w:caps w:val="0"/>
                <w:smallCaps w:val="0"/>
                <w:color w:val="111111"/>
                <w:spacing w:val="8"/>
                <w:sz w:val="21"/>
                <w:szCs w:val="21"/>
              </w:rPr>
              <w:t>[6-8]</w:t>
            </w:r>
            <w:r>
              <w:rPr>
                <w:rStyle w:val="any"/>
                <w:rFonts w:ascii="PMingLiU" w:eastAsia="PMingLiU" w:hAnsi="PMingLiU" w:cs="PMingLiU"/>
                <w:b w:val="0"/>
                <w:bCs w:val="0"/>
                <w:i w:val="0"/>
                <w:iCs w:val="0"/>
                <w:caps w:val="0"/>
                <w:smallCaps w:val="0"/>
                <w:color w:val="111111"/>
                <w:spacing w:val="8"/>
                <w:sz w:val="21"/>
                <w:szCs w:val="21"/>
              </w:rPr>
              <w:t>，其中一篇已被撤回</w:t>
            </w:r>
            <w:r>
              <w:rPr>
                <w:rStyle w:val="any"/>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。图</w:t>
            </w:r>
            <w:r>
              <w:rPr>
                <w:rStyle w:val="any"/>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重复使用了图</w:t>
            </w:r>
            <w:r>
              <w:rPr>
                <w:rStyle w:val="any"/>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和同一实验室早期论文中的蛋白质印迹图像</w:t>
            </w:r>
            <w:r>
              <w:rPr>
                <w:rStyle w:val="any"/>
                <w:b w:val="0"/>
                <w:bCs w:val="0"/>
                <w:i w:val="0"/>
                <w:iCs w:val="0"/>
                <w:caps w:val="0"/>
                <w:smallCaps w:val="0"/>
                <w:color w:val="111111"/>
                <w:spacing w:val="8"/>
                <w:sz w:val="21"/>
                <w:szCs w:val="21"/>
              </w:rPr>
              <w:t>[9]</w:t>
            </w:r>
            <w:r>
              <w:rPr>
                <w:rStyle w:val="any"/>
                <w:rFonts w:ascii="PMingLiU" w:eastAsia="PMingLiU" w:hAnsi="PMingLiU" w:cs="PMingLiU"/>
                <w:b w:val="0"/>
                <w:bCs w:val="0"/>
                <w:i w:val="0"/>
                <w:iCs w:val="0"/>
                <w:caps w:val="0"/>
                <w:smallCaps w:val="0"/>
                <w:color w:val="111111"/>
                <w:spacing w:val="8"/>
                <w:sz w:val="21"/>
                <w:szCs w:val="21"/>
              </w:rPr>
              <w:t>。作者在我们试图联系他们以获取有关这些重复的更多信息时没有回应。因此，编辑部决定撤回这篇论文。</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6396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75225" name=""/>
                          <pic:cNvPicPr>
                            <a:picLocks noChangeAspect="1"/>
                          </pic:cNvPicPr>
                        </pic:nvPicPr>
                        <pic:blipFill>
                          <a:blip xmlns:r="http://schemas.openxmlformats.org/officeDocument/2006/relationships" r:embed="rId7"/>
                          <a:stretch>
                            <a:fillRect/>
                          </a:stretch>
                        </pic:blipFill>
                        <pic:spPr>
                          <a:xfrm>
                            <a:off x="0" y="0"/>
                            <a:ext cx="3654457" cy="16396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9575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44874" name=""/>
                          <pic:cNvPicPr>
                            <a:picLocks noChangeAspect="1"/>
                          </pic:cNvPicPr>
                        </pic:nvPicPr>
                        <pic:blipFill>
                          <a:blip xmlns:r="http://schemas.openxmlformats.org/officeDocument/2006/relationships" r:embed="rId8"/>
                          <a:stretch>
                            <a:fillRect/>
                          </a:stretch>
                        </pic:blipFill>
                        <pic:spPr>
                          <a:xfrm>
                            <a:off x="0" y="0"/>
                            <a:ext cx="3654457" cy="957549"/>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3683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28788"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7092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715&amp;idx=1&amp;sn=9d0ea00b3eb449e1cf762105945f6d8f&amp;chksm=c0520ef0b96fd02d23e85052ca1556cba3a73fd63d9eb240a3f34d792e922685aeb6640701e8&amp;scene=126&amp;sessionid=174195234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